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E1A90" w14:textId="754898A7" w:rsidR="00126BEE" w:rsidRDefault="008F47F2" w:rsidP="006C2248">
      <w:pPr>
        <w:pStyle w:val="Title"/>
      </w:pPr>
      <w:r>
        <w:t xml:space="preserve">UK Guideline for the </w:t>
      </w:r>
      <w:r w:rsidR="00DF14D4">
        <w:t>Management of the</w:t>
      </w:r>
      <w:r>
        <w:t xml:space="preserve"> </w:t>
      </w:r>
      <w:r w:rsidR="006C2248">
        <w:t>P</w:t>
      </w:r>
      <w:r>
        <w:t>atient with a</w:t>
      </w:r>
      <w:r w:rsidR="00DF14D4">
        <w:t xml:space="preserve"> </w:t>
      </w:r>
      <w:r w:rsidR="006C2248">
        <w:t>F</w:t>
      </w:r>
      <w:r w:rsidR="00DF14D4">
        <w:t xml:space="preserve">ailing </w:t>
      </w:r>
      <w:r w:rsidR="006C2248">
        <w:t>K</w:t>
      </w:r>
      <w:r w:rsidR="00DF14D4">
        <w:t xml:space="preserve">idney </w:t>
      </w:r>
      <w:r w:rsidR="006C2248">
        <w:t>T</w:t>
      </w:r>
      <w:r w:rsidR="00DF14D4">
        <w:t>ransplant</w:t>
      </w:r>
    </w:p>
    <w:p w14:paraId="6B4375AC" w14:textId="77777777" w:rsidR="006C2248" w:rsidRDefault="006C2248" w:rsidP="00D14D2D"/>
    <w:p w14:paraId="26BE0DDC" w14:textId="230E00DA" w:rsidR="00DF14D4" w:rsidRDefault="00DF14D4" w:rsidP="006611E8">
      <w:pPr>
        <w:spacing w:line="276" w:lineRule="auto"/>
      </w:pPr>
      <w:r>
        <w:t>Final version:</w:t>
      </w:r>
    </w:p>
    <w:p w14:paraId="64267B06" w14:textId="77777777" w:rsidR="00DF14D4" w:rsidRDefault="00DF14D4" w:rsidP="006611E8">
      <w:pPr>
        <w:spacing w:line="276" w:lineRule="auto"/>
      </w:pPr>
      <w:r>
        <w:t>Review date:</w:t>
      </w:r>
    </w:p>
    <w:p w14:paraId="2822857C" w14:textId="7A53C899" w:rsidR="003907A2" w:rsidRPr="00D14D2D" w:rsidRDefault="0099460F" w:rsidP="00D14D2D">
      <w:pPr>
        <w:rPr>
          <w:rFonts w:asciiTheme="majorHAnsi" w:hAnsiTheme="majorHAnsi" w:cstheme="majorHAnsi"/>
          <w:color w:val="0070C0"/>
          <w:sz w:val="32"/>
          <w:szCs w:val="32"/>
        </w:rPr>
      </w:pPr>
      <w:r w:rsidRPr="00D14D2D">
        <w:rPr>
          <w:rFonts w:asciiTheme="majorHAnsi" w:hAnsiTheme="majorHAnsi" w:cstheme="majorHAnsi"/>
          <w:color w:val="0070C0"/>
          <w:sz w:val="32"/>
          <w:szCs w:val="32"/>
        </w:rPr>
        <w:t>Table of Contents</w:t>
      </w:r>
    </w:p>
    <w:p w14:paraId="065CD5AF" w14:textId="6144498C" w:rsidR="00D14D2D" w:rsidRDefault="006D0F61">
      <w:pPr>
        <w:pStyle w:val="TOC1"/>
        <w:tabs>
          <w:tab w:val="right" w:leader="dot" w:pos="9016"/>
        </w:tabs>
        <w:rPr>
          <w:rFonts w:eastAsiaTheme="minorEastAsia"/>
          <w:noProof/>
          <w:lang w:eastAsia="en-GB"/>
        </w:rPr>
      </w:pPr>
      <w:r>
        <w:fldChar w:fldCharType="begin"/>
      </w:r>
      <w:r>
        <w:instrText xml:space="preserve"> TOC \o "1-5" \h \z \u </w:instrText>
      </w:r>
      <w:r>
        <w:fldChar w:fldCharType="separate"/>
      </w:r>
      <w:hyperlink w:anchor="_Toc128329909" w:history="1">
        <w:r w:rsidR="00D14D2D" w:rsidRPr="00531D9E">
          <w:rPr>
            <w:rStyle w:val="Hyperlink"/>
            <w:noProof/>
          </w:rPr>
          <w:t>Introduction</w:t>
        </w:r>
        <w:r w:rsidR="00D14D2D">
          <w:rPr>
            <w:noProof/>
            <w:webHidden/>
          </w:rPr>
          <w:tab/>
        </w:r>
        <w:r w:rsidR="00D14D2D">
          <w:rPr>
            <w:noProof/>
            <w:webHidden/>
          </w:rPr>
          <w:fldChar w:fldCharType="begin"/>
        </w:r>
        <w:r w:rsidR="00D14D2D">
          <w:rPr>
            <w:noProof/>
            <w:webHidden/>
          </w:rPr>
          <w:instrText xml:space="preserve"> PAGEREF _Toc128329909 \h </w:instrText>
        </w:r>
        <w:r w:rsidR="00D14D2D">
          <w:rPr>
            <w:noProof/>
            <w:webHidden/>
          </w:rPr>
        </w:r>
        <w:r w:rsidR="00D14D2D">
          <w:rPr>
            <w:noProof/>
            <w:webHidden/>
          </w:rPr>
          <w:fldChar w:fldCharType="separate"/>
        </w:r>
        <w:r w:rsidR="00D14D2D">
          <w:rPr>
            <w:noProof/>
            <w:webHidden/>
          </w:rPr>
          <w:t>6</w:t>
        </w:r>
        <w:r w:rsidR="00D14D2D">
          <w:rPr>
            <w:noProof/>
            <w:webHidden/>
          </w:rPr>
          <w:fldChar w:fldCharType="end"/>
        </w:r>
      </w:hyperlink>
    </w:p>
    <w:p w14:paraId="327E60C8" w14:textId="7D185B93" w:rsidR="00D14D2D" w:rsidRDefault="00000000">
      <w:pPr>
        <w:pStyle w:val="TOC2"/>
        <w:tabs>
          <w:tab w:val="right" w:leader="dot" w:pos="9016"/>
        </w:tabs>
        <w:rPr>
          <w:rFonts w:eastAsiaTheme="minorEastAsia"/>
          <w:noProof/>
          <w:lang w:eastAsia="en-GB"/>
        </w:rPr>
      </w:pPr>
      <w:hyperlink w:anchor="_Toc128329910" w:history="1">
        <w:r w:rsidR="00D14D2D" w:rsidRPr="00531D9E">
          <w:rPr>
            <w:rStyle w:val="Hyperlink"/>
            <w:noProof/>
          </w:rPr>
          <w:t>The need for the guideline</w:t>
        </w:r>
        <w:r w:rsidR="00D14D2D">
          <w:rPr>
            <w:noProof/>
            <w:webHidden/>
          </w:rPr>
          <w:tab/>
        </w:r>
        <w:r w:rsidR="00D14D2D">
          <w:rPr>
            <w:noProof/>
            <w:webHidden/>
          </w:rPr>
          <w:fldChar w:fldCharType="begin"/>
        </w:r>
        <w:r w:rsidR="00D14D2D">
          <w:rPr>
            <w:noProof/>
            <w:webHidden/>
          </w:rPr>
          <w:instrText xml:space="preserve"> PAGEREF _Toc128329910 \h </w:instrText>
        </w:r>
        <w:r w:rsidR="00D14D2D">
          <w:rPr>
            <w:noProof/>
            <w:webHidden/>
          </w:rPr>
        </w:r>
        <w:r w:rsidR="00D14D2D">
          <w:rPr>
            <w:noProof/>
            <w:webHidden/>
          </w:rPr>
          <w:fldChar w:fldCharType="separate"/>
        </w:r>
        <w:r w:rsidR="00D14D2D">
          <w:rPr>
            <w:noProof/>
            <w:webHidden/>
          </w:rPr>
          <w:t>6</w:t>
        </w:r>
        <w:r w:rsidR="00D14D2D">
          <w:rPr>
            <w:noProof/>
            <w:webHidden/>
          </w:rPr>
          <w:fldChar w:fldCharType="end"/>
        </w:r>
      </w:hyperlink>
    </w:p>
    <w:p w14:paraId="3553BA10" w14:textId="347FB90B" w:rsidR="00D14D2D" w:rsidRDefault="00000000">
      <w:pPr>
        <w:pStyle w:val="TOC2"/>
        <w:tabs>
          <w:tab w:val="right" w:leader="dot" w:pos="9016"/>
        </w:tabs>
        <w:rPr>
          <w:rFonts w:eastAsiaTheme="minorEastAsia"/>
          <w:noProof/>
          <w:lang w:eastAsia="en-GB"/>
        </w:rPr>
      </w:pPr>
      <w:hyperlink w:anchor="_Toc128329911" w:history="1">
        <w:r w:rsidR="00D14D2D" w:rsidRPr="00531D9E">
          <w:rPr>
            <w:rStyle w:val="Hyperlink"/>
            <w:noProof/>
          </w:rPr>
          <w:t>References</w:t>
        </w:r>
        <w:r w:rsidR="00D14D2D">
          <w:rPr>
            <w:noProof/>
            <w:webHidden/>
          </w:rPr>
          <w:tab/>
        </w:r>
        <w:r w:rsidR="00D14D2D">
          <w:rPr>
            <w:noProof/>
            <w:webHidden/>
          </w:rPr>
          <w:fldChar w:fldCharType="begin"/>
        </w:r>
        <w:r w:rsidR="00D14D2D">
          <w:rPr>
            <w:noProof/>
            <w:webHidden/>
          </w:rPr>
          <w:instrText xml:space="preserve"> PAGEREF _Toc128329911 \h </w:instrText>
        </w:r>
        <w:r w:rsidR="00D14D2D">
          <w:rPr>
            <w:noProof/>
            <w:webHidden/>
          </w:rPr>
        </w:r>
        <w:r w:rsidR="00D14D2D">
          <w:rPr>
            <w:noProof/>
            <w:webHidden/>
          </w:rPr>
          <w:fldChar w:fldCharType="separate"/>
        </w:r>
        <w:r w:rsidR="00D14D2D">
          <w:rPr>
            <w:noProof/>
            <w:webHidden/>
          </w:rPr>
          <w:t>7</w:t>
        </w:r>
        <w:r w:rsidR="00D14D2D">
          <w:rPr>
            <w:noProof/>
            <w:webHidden/>
          </w:rPr>
          <w:fldChar w:fldCharType="end"/>
        </w:r>
      </w:hyperlink>
    </w:p>
    <w:p w14:paraId="6815D6BF" w14:textId="339DAE8B" w:rsidR="00D14D2D" w:rsidRDefault="00000000">
      <w:pPr>
        <w:pStyle w:val="TOC2"/>
        <w:tabs>
          <w:tab w:val="right" w:leader="dot" w:pos="9016"/>
        </w:tabs>
        <w:rPr>
          <w:rFonts w:eastAsiaTheme="minorEastAsia"/>
          <w:noProof/>
          <w:lang w:eastAsia="en-GB"/>
        </w:rPr>
      </w:pPr>
      <w:hyperlink w:anchor="_Toc128329912" w:history="1">
        <w:r w:rsidR="00D14D2D" w:rsidRPr="00531D9E">
          <w:rPr>
            <w:rStyle w:val="Hyperlink"/>
            <w:noProof/>
          </w:rPr>
          <w:t>Process of writing and methodology</w:t>
        </w:r>
        <w:r w:rsidR="00D14D2D">
          <w:rPr>
            <w:noProof/>
            <w:webHidden/>
          </w:rPr>
          <w:tab/>
        </w:r>
        <w:r w:rsidR="00D14D2D">
          <w:rPr>
            <w:noProof/>
            <w:webHidden/>
          </w:rPr>
          <w:fldChar w:fldCharType="begin"/>
        </w:r>
        <w:r w:rsidR="00D14D2D">
          <w:rPr>
            <w:noProof/>
            <w:webHidden/>
          </w:rPr>
          <w:instrText xml:space="preserve"> PAGEREF _Toc128329912 \h </w:instrText>
        </w:r>
        <w:r w:rsidR="00D14D2D">
          <w:rPr>
            <w:noProof/>
            <w:webHidden/>
          </w:rPr>
        </w:r>
        <w:r w:rsidR="00D14D2D">
          <w:rPr>
            <w:noProof/>
            <w:webHidden/>
          </w:rPr>
          <w:fldChar w:fldCharType="separate"/>
        </w:r>
        <w:r w:rsidR="00D14D2D">
          <w:rPr>
            <w:noProof/>
            <w:webHidden/>
          </w:rPr>
          <w:t>8</w:t>
        </w:r>
        <w:r w:rsidR="00D14D2D">
          <w:rPr>
            <w:noProof/>
            <w:webHidden/>
          </w:rPr>
          <w:fldChar w:fldCharType="end"/>
        </w:r>
      </w:hyperlink>
    </w:p>
    <w:p w14:paraId="28DC3C8C" w14:textId="1AAD53A0" w:rsidR="00D14D2D" w:rsidRDefault="00000000">
      <w:pPr>
        <w:pStyle w:val="TOC2"/>
        <w:tabs>
          <w:tab w:val="right" w:leader="dot" w:pos="9016"/>
        </w:tabs>
        <w:rPr>
          <w:rFonts w:eastAsiaTheme="minorEastAsia"/>
          <w:noProof/>
          <w:lang w:eastAsia="en-GB"/>
        </w:rPr>
      </w:pPr>
      <w:hyperlink w:anchor="_Toc128329913" w:history="1">
        <w:r w:rsidR="00D14D2D" w:rsidRPr="00531D9E">
          <w:rPr>
            <w:rStyle w:val="Hyperlink"/>
            <w:noProof/>
          </w:rPr>
          <w:t>References</w:t>
        </w:r>
        <w:r w:rsidR="00D14D2D">
          <w:rPr>
            <w:noProof/>
            <w:webHidden/>
          </w:rPr>
          <w:tab/>
        </w:r>
        <w:r w:rsidR="00D14D2D">
          <w:rPr>
            <w:noProof/>
            <w:webHidden/>
          </w:rPr>
          <w:fldChar w:fldCharType="begin"/>
        </w:r>
        <w:r w:rsidR="00D14D2D">
          <w:rPr>
            <w:noProof/>
            <w:webHidden/>
          </w:rPr>
          <w:instrText xml:space="preserve"> PAGEREF _Toc128329913 \h </w:instrText>
        </w:r>
        <w:r w:rsidR="00D14D2D">
          <w:rPr>
            <w:noProof/>
            <w:webHidden/>
          </w:rPr>
        </w:r>
        <w:r w:rsidR="00D14D2D">
          <w:rPr>
            <w:noProof/>
            <w:webHidden/>
          </w:rPr>
          <w:fldChar w:fldCharType="separate"/>
        </w:r>
        <w:r w:rsidR="00D14D2D">
          <w:rPr>
            <w:noProof/>
            <w:webHidden/>
          </w:rPr>
          <w:t>8</w:t>
        </w:r>
        <w:r w:rsidR="00D14D2D">
          <w:rPr>
            <w:noProof/>
            <w:webHidden/>
          </w:rPr>
          <w:fldChar w:fldCharType="end"/>
        </w:r>
      </w:hyperlink>
    </w:p>
    <w:p w14:paraId="240B9490" w14:textId="2E546CEB" w:rsidR="00D14D2D" w:rsidRDefault="00000000">
      <w:pPr>
        <w:pStyle w:val="TOC2"/>
        <w:tabs>
          <w:tab w:val="right" w:leader="dot" w:pos="9016"/>
        </w:tabs>
        <w:rPr>
          <w:rFonts w:eastAsiaTheme="minorEastAsia"/>
          <w:noProof/>
          <w:lang w:eastAsia="en-GB"/>
        </w:rPr>
      </w:pPr>
      <w:hyperlink w:anchor="_Toc128329914" w:history="1">
        <w:r w:rsidR="00D14D2D" w:rsidRPr="00531D9E">
          <w:rPr>
            <w:rStyle w:val="Hyperlink"/>
            <w:noProof/>
          </w:rPr>
          <w:t>Contributing authors</w:t>
        </w:r>
        <w:r w:rsidR="00D14D2D">
          <w:rPr>
            <w:noProof/>
            <w:webHidden/>
          </w:rPr>
          <w:tab/>
        </w:r>
        <w:r w:rsidR="00D14D2D">
          <w:rPr>
            <w:noProof/>
            <w:webHidden/>
          </w:rPr>
          <w:fldChar w:fldCharType="begin"/>
        </w:r>
        <w:r w:rsidR="00D14D2D">
          <w:rPr>
            <w:noProof/>
            <w:webHidden/>
          </w:rPr>
          <w:instrText xml:space="preserve"> PAGEREF _Toc128329914 \h </w:instrText>
        </w:r>
        <w:r w:rsidR="00D14D2D">
          <w:rPr>
            <w:noProof/>
            <w:webHidden/>
          </w:rPr>
        </w:r>
        <w:r w:rsidR="00D14D2D">
          <w:rPr>
            <w:noProof/>
            <w:webHidden/>
          </w:rPr>
          <w:fldChar w:fldCharType="separate"/>
        </w:r>
        <w:r w:rsidR="00D14D2D">
          <w:rPr>
            <w:noProof/>
            <w:webHidden/>
          </w:rPr>
          <w:t>8</w:t>
        </w:r>
        <w:r w:rsidR="00D14D2D">
          <w:rPr>
            <w:noProof/>
            <w:webHidden/>
          </w:rPr>
          <w:fldChar w:fldCharType="end"/>
        </w:r>
      </w:hyperlink>
    </w:p>
    <w:p w14:paraId="6B4F19A6" w14:textId="0A2A6AEE" w:rsidR="00D14D2D" w:rsidRDefault="00000000">
      <w:pPr>
        <w:pStyle w:val="TOC2"/>
        <w:tabs>
          <w:tab w:val="right" w:leader="dot" w:pos="9016"/>
        </w:tabs>
        <w:rPr>
          <w:rFonts w:eastAsiaTheme="minorEastAsia"/>
          <w:noProof/>
          <w:lang w:eastAsia="en-GB"/>
        </w:rPr>
      </w:pPr>
      <w:hyperlink w:anchor="_Toc128329915" w:history="1">
        <w:r w:rsidR="00D14D2D" w:rsidRPr="00531D9E">
          <w:rPr>
            <w:rStyle w:val="Hyperlink"/>
            <w:noProof/>
          </w:rPr>
          <w:t>Conflicts of interest</w:t>
        </w:r>
        <w:r w:rsidR="00D14D2D">
          <w:rPr>
            <w:noProof/>
            <w:webHidden/>
          </w:rPr>
          <w:tab/>
        </w:r>
        <w:r w:rsidR="00D14D2D">
          <w:rPr>
            <w:noProof/>
            <w:webHidden/>
          </w:rPr>
          <w:fldChar w:fldCharType="begin"/>
        </w:r>
        <w:r w:rsidR="00D14D2D">
          <w:rPr>
            <w:noProof/>
            <w:webHidden/>
          </w:rPr>
          <w:instrText xml:space="preserve"> PAGEREF _Toc128329915 \h </w:instrText>
        </w:r>
        <w:r w:rsidR="00D14D2D">
          <w:rPr>
            <w:noProof/>
            <w:webHidden/>
          </w:rPr>
        </w:r>
        <w:r w:rsidR="00D14D2D">
          <w:rPr>
            <w:noProof/>
            <w:webHidden/>
          </w:rPr>
          <w:fldChar w:fldCharType="separate"/>
        </w:r>
        <w:r w:rsidR="00D14D2D">
          <w:rPr>
            <w:noProof/>
            <w:webHidden/>
          </w:rPr>
          <w:t>9</w:t>
        </w:r>
        <w:r w:rsidR="00D14D2D">
          <w:rPr>
            <w:noProof/>
            <w:webHidden/>
          </w:rPr>
          <w:fldChar w:fldCharType="end"/>
        </w:r>
      </w:hyperlink>
    </w:p>
    <w:p w14:paraId="5497DE21" w14:textId="28AFCDFC" w:rsidR="00D14D2D" w:rsidRDefault="00000000">
      <w:pPr>
        <w:pStyle w:val="TOC2"/>
        <w:tabs>
          <w:tab w:val="right" w:leader="dot" w:pos="9016"/>
        </w:tabs>
        <w:rPr>
          <w:rFonts w:eastAsiaTheme="minorEastAsia"/>
          <w:noProof/>
          <w:lang w:eastAsia="en-GB"/>
        </w:rPr>
      </w:pPr>
      <w:hyperlink w:anchor="_Toc128329916" w:history="1">
        <w:r w:rsidR="00D14D2D" w:rsidRPr="00531D9E">
          <w:rPr>
            <w:rStyle w:val="Hyperlink"/>
            <w:noProof/>
          </w:rPr>
          <w:t>Grading of recommendations</w:t>
        </w:r>
        <w:r w:rsidR="00D14D2D">
          <w:rPr>
            <w:noProof/>
            <w:webHidden/>
          </w:rPr>
          <w:tab/>
        </w:r>
        <w:r w:rsidR="00D14D2D">
          <w:rPr>
            <w:noProof/>
            <w:webHidden/>
          </w:rPr>
          <w:fldChar w:fldCharType="begin"/>
        </w:r>
        <w:r w:rsidR="00D14D2D">
          <w:rPr>
            <w:noProof/>
            <w:webHidden/>
          </w:rPr>
          <w:instrText xml:space="preserve"> PAGEREF _Toc128329916 \h </w:instrText>
        </w:r>
        <w:r w:rsidR="00D14D2D">
          <w:rPr>
            <w:noProof/>
            <w:webHidden/>
          </w:rPr>
        </w:r>
        <w:r w:rsidR="00D14D2D">
          <w:rPr>
            <w:noProof/>
            <w:webHidden/>
          </w:rPr>
          <w:fldChar w:fldCharType="separate"/>
        </w:r>
        <w:r w:rsidR="00D14D2D">
          <w:rPr>
            <w:noProof/>
            <w:webHidden/>
          </w:rPr>
          <w:t>9</w:t>
        </w:r>
        <w:r w:rsidR="00D14D2D">
          <w:rPr>
            <w:noProof/>
            <w:webHidden/>
          </w:rPr>
          <w:fldChar w:fldCharType="end"/>
        </w:r>
      </w:hyperlink>
    </w:p>
    <w:p w14:paraId="61317652" w14:textId="36B64F10" w:rsidR="00D14D2D" w:rsidRDefault="00000000">
      <w:pPr>
        <w:pStyle w:val="TOC2"/>
        <w:tabs>
          <w:tab w:val="right" w:leader="dot" w:pos="9016"/>
        </w:tabs>
        <w:rPr>
          <w:rFonts w:eastAsiaTheme="minorEastAsia"/>
          <w:noProof/>
          <w:lang w:eastAsia="en-GB"/>
        </w:rPr>
      </w:pPr>
      <w:hyperlink w:anchor="_Toc128329917" w:history="1">
        <w:r w:rsidR="00D14D2D" w:rsidRPr="00531D9E">
          <w:rPr>
            <w:rStyle w:val="Hyperlink"/>
            <w:noProof/>
          </w:rPr>
          <w:t>Abbreviations</w:t>
        </w:r>
        <w:r w:rsidR="00D14D2D">
          <w:rPr>
            <w:noProof/>
            <w:webHidden/>
          </w:rPr>
          <w:tab/>
        </w:r>
        <w:r w:rsidR="00D14D2D">
          <w:rPr>
            <w:noProof/>
            <w:webHidden/>
          </w:rPr>
          <w:fldChar w:fldCharType="begin"/>
        </w:r>
        <w:r w:rsidR="00D14D2D">
          <w:rPr>
            <w:noProof/>
            <w:webHidden/>
          </w:rPr>
          <w:instrText xml:space="preserve"> PAGEREF _Toc128329917 \h </w:instrText>
        </w:r>
        <w:r w:rsidR="00D14D2D">
          <w:rPr>
            <w:noProof/>
            <w:webHidden/>
          </w:rPr>
        </w:r>
        <w:r w:rsidR="00D14D2D">
          <w:rPr>
            <w:noProof/>
            <w:webHidden/>
          </w:rPr>
          <w:fldChar w:fldCharType="separate"/>
        </w:r>
        <w:r w:rsidR="00D14D2D">
          <w:rPr>
            <w:noProof/>
            <w:webHidden/>
          </w:rPr>
          <w:t>10</w:t>
        </w:r>
        <w:r w:rsidR="00D14D2D">
          <w:rPr>
            <w:noProof/>
            <w:webHidden/>
          </w:rPr>
          <w:fldChar w:fldCharType="end"/>
        </w:r>
      </w:hyperlink>
    </w:p>
    <w:p w14:paraId="41951BEE" w14:textId="127D6C2A" w:rsidR="00D14D2D" w:rsidRDefault="00000000">
      <w:pPr>
        <w:pStyle w:val="TOC2"/>
        <w:tabs>
          <w:tab w:val="right" w:leader="dot" w:pos="9016"/>
        </w:tabs>
        <w:rPr>
          <w:rFonts w:eastAsiaTheme="minorEastAsia"/>
          <w:noProof/>
          <w:lang w:eastAsia="en-GB"/>
        </w:rPr>
      </w:pPr>
      <w:hyperlink w:anchor="_Toc128329918" w:history="1">
        <w:r w:rsidR="00D14D2D" w:rsidRPr="00531D9E">
          <w:rPr>
            <w:rStyle w:val="Hyperlink"/>
            <w:noProof/>
          </w:rPr>
          <w:t>Definitions</w:t>
        </w:r>
        <w:r w:rsidR="00D14D2D">
          <w:rPr>
            <w:noProof/>
            <w:webHidden/>
          </w:rPr>
          <w:tab/>
        </w:r>
        <w:r w:rsidR="00D14D2D">
          <w:rPr>
            <w:noProof/>
            <w:webHidden/>
          </w:rPr>
          <w:fldChar w:fldCharType="begin"/>
        </w:r>
        <w:r w:rsidR="00D14D2D">
          <w:rPr>
            <w:noProof/>
            <w:webHidden/>
          </w:rPr>
          <w:instrText xml:space="preserve"> PAGEREF _Toc128329918 \h </w:instrText>
        </w:r>
        <w:r w:rsidR="00D14D2D">
          <w:rPr>
            <w:noProof/>
            <w:webHidden/>
          </w:rPr>
        </w:r>
        <w:r w:rsidR="00D14D2D">
          <w:rPr>
            <w:noProof/>
            <w:webHidden/>
          </w:rPr>
          <w:fldChar w:fldCharType="separate"/>
        </w:r>
        <w:r w:rsidR="00D14D2D">
          <w:rPr>
            <w:noProof/>
            <w:webHidden/>
          </w:rPr>
          <w:t>11</w:t>
        </w:r>
        <w:r w:rsidR="00D14D2D">
          <w:rPr>
            <w:noProof/>
            <w:webHidden/>
          </w:rPr>
          <w:fldChar w:fldCharType="end"/>
        </w:r>
      </w:hyperlink>
    </w:p>
    <w:p w14:paraId="105D41C5" w14:textId="64013572" w:rsidR="00D14D2D" w:rsidRDefault="00000000">
      <w:pPr>
        <w:pStyle w:val="TOC3"/>
        <w:tabs>
          <w:tab w:val="right" w:leader="dot" w:pos="9016"/>
        </w:tabs>
        <w:rPr>
          <w:rFonts w:eastAsiaTheme="minorEastAsia"/>
          <w:noProof/>
          <w:lang w:eastAsia="en-GB"/>
        </w:rPr>
      </w:pPr>
      <w:hyperlink w:anchor="_Toc128329919" w:history="1">
        <w:r w:rsidR="00D14D2D" w:rsidRPr="00531D9E">
          <w:rPr>
            <w:rStyle w:val="Hyperlink"/>
            <w:noProof/>
          </w:rPr>
          <w:t>Failing Kidney transplant</w:t>
        </w:r>
        <w:r w:rsidR="00D14D2D">
          <w:rPr>
            <w:noProof/>
            <w:webHidden/>
          </w:rPr>
          <w:tab/>
        </w:r>
        <w:r w:rsidR="00D14D2D">
          <w:rPr>
            <w:noProof/>
            <w:webHidden/>
          </w:rPr>
          <w:fldChar w:fldCharType="begin"/>
        </w:r>
        <w:r w:rsidR="00D14D2D">
          <w:rPr>
            <w:noProof/>
            <w:webHidden/>
          </w:rPr>
          <w:instrText xml:space="preserve"> PAGEREF _Toc128329919 \h </w:instrText>
        </w:r>
        <w:r w:rsidR="00D14D2D">
          <w:rPr>
            <w:noProof/>
            <w:webHidden/>
          </w:rPr>
        </w:r>
        <w:r w:rsidR="00D14D2D">
          <w:rPr>
            <w:noProof/>
            <w:webHidden/>
          </w:rPr>
          <w:fldChar w:fldCharType="separate"/>
        </w:r>
        <w:r w:rsidR="00D14D2D">
          <w:rPr>
            <w:noProof/>
            <w:webHidden/>
          </w:rPr>
          <w:t>11</w:t>
        </w:r>
        <w:r w:rsidR="00D14D2D">
          <w:rPr>
            <w:noProof/>
            <w:webHidden/>
          </w:rPr>
          <w:fldChar w:fldCharType="end"/>
        </w:r>
      </w:hyperlink>
    </w:p>
    <w:p w14:paraId="64B0E0E8" w14:textId="4938637D" w:rsidR="00D14D2D" w:rsidRDefault="00000000">
      <w:pPr>
        <w:pStyle w:val="TOC3"/>
        <w:tabs>
          <w:tab w:val="right" w:leader="dot" w:pos="9016"/>
        </w:tabs>
        <w:rPr>
          <w:rFonts w:eastAsiaTheme="minorEastAsia"/>
          <w:noProof/>
          <w:lang w:eastAsia="en-GB"/>
        </w:rPr>
      </w:pPr>
      <w:hyperlink w:anchor="_Toc128329920" w:history="1">
        <w:r w:rsidR="00D14D2D" w:rsidRPr="00531D9E">
          <w:rPr>
            <w:rStyle w:val="Hyperlink"/>
            <w:noProof/>
          </w:rPr>
          <w:t>Advanced kidney care clinic</w:t>
        </w:r>
        <w:r w:rsidR="00D14D2D">
          <w:rPr>
            <w:noProof/>
            <w:webHidden/>
          </w:rPr>
          <w:tab/>
        </w:r>
        <w:r w:rsidR="00D14D2D">
          <w:rPr>
            <w:noProof/>
            <w:webHidden/>
          </w:rPr>
          <w:fldChar w:fldCharType="begin"/>
        </w:r>
        <w:r w:rsidR="00D14D2D">
          <w:rPr>
            <w:noProof/>
            <w:webHidden/>
          </w:rPr>
          <w:instrText xml:space="preserve"> PAGEREF _Toc128329920 \h </w:instrText>
        </w:r>
        <w:r w:rsidR="00D14D2D">
          <w:rPr>
            <w:noProof/>
            <w:webHidden/>
          </w:rPr>
        </w:r>
        <w:r w:rsidR="00D14D2D">
          <w:rPr>
            <w:noProof/>
            <w:webHidden/>
          </w:rPr>
          <w:fldChar w:fldCharType="separate"/>
        </w:r>
        <w:r w:rsidR="00D14D2D">
          <w:rPr>
            <w:noProof/>
            <w:webHidden/>
          </w:rPr>
          <w:t>11</w:t>
        </w:r>
        <w:r w:rsidR="00D14D2D">
          <w:rPr>
            <w:noProof/>
            <w:webHidden/>
          </w:rPr>
          <w:fldChar w:fldCharType="end"/>
        </w:r>
      </w:hyperlink>
    </w:p>
    <w:p w14:paraId="70B102EA" w14:textId="2FB07EE5" w:rsidR="00D14D2D" w:rsidRDefault="00000000">
      <w:pPr>
        <w:pStyle w:val="TOC3"/>
        <w:tabs>
          <w:tab w:val="right" w:leader="dot" w:pos="9016"/>
        </w:tabs>
        <w:rPr>
          <w:rFonts w:eastAsiaTheme="minorEastAsia"/>
          <w:noProof/>
          <w:lang w:eastAsia="en-GB"/>
        </w:rPr>
      </w:pPr>
      <w:hyperlink w:anchor="_Toc128329921" w:history="1">
        <w:r w:rsidR="00D14D2D" w:rsidRPr="00531D9E">
          <w:rPr>
            <w:rStyle w:val="Hyperlink"/>
            <w:noProof/>
          </w:rPr>
          <w:t>Core support group</w:t>
        </w:r>
        <w:r w:rsidR="00D14D2D">
          <w:rPr>
            <w:noProof/>
            <w:webHidden/>
          </w:rPr>
          <w:tab/>
        </w:r>
        <w:r w:rsidR="00D14D2D">
          <w:rPr>
            <w:noProof/>
            <w:webHidden/>
          </w:rPr>
          <w:fldChar w:fldCharType="begin"/>
        </w:r>
        <w:r w:rsidR="00D14D2D">
          <w:rPr>
            <w:noProof/>
            <w:webHidden/>
          </w:rPr>
          <w:instrText xml:space="preserve"> PAGEREF _Toc128329921 \h </w:instrText>
        </w:r>
        <w:r w:rsidR="00D14D2D">
          <w:rPr>
            <w:noProof/>
            <w:webHidden/>
          </w:rPr>
        </w:r>
        <w:r w:rsidR="00D14D2D">
          <w:rPr>
            <w:noProof/>
            <w:webHidden/>
          </w:rPr>
          <w:fldChar w:fldCharType="separate"/>
        </w:r>
        <w:r w:rsidR="00D14D2D">
          <w:rPr>
            <w:noProof/>
            <w:webHidden/>
          </w:rPr>
          <w:t>12</w:t>
        </w:r>
        <w:r w:rsidR="00D14D2D">
          <w:rPr>
            <w:noProof/>
            <w:webHidden/>
          </w:rPr>
          <w:fldChar w:fldCharType="end"/>
        </w:r>
      </w:hyperlink>
    </w:p>
    <w:p w14:paraId="51C9B4A8" w14:textId="616AB1EC" w:rsidR="00D14D2D" w:rsidRDefault="00000000">
      <w:pPr>
        <w:pStyle w:val="TOC2"/>
        <w:tabs>
          <w:tab w:val="right" w:leader="dot" w:pos="9016"/>
        </w:tabs>
        <w:rPr>
          <w:rFonts w:eastAsiaTheme="minorEastAsia"/>
          <w:noProof/>
          <w:lang w:eastAsia="en-GB"/>
        </w:rPr>
      </w:pPr>
      <w:hyperlink w:anchor="_Toc128329922" w:history="1">
        <w:r w:rsidR="00D14D2D" w:rsidRPr="00531D9E">
          <w:rPr>
            <w:rStyle w:val="Hyperlink"/>
            <w:noProof/>
          </w:rPr>
          <w:t>Disclaimer</w:t>
        </w:r>
        <w:r w:rsidR="00D14D2D">
          <w:rPr>
            <w:noProof/>
            <w:webHidden/>
          </w:rPr>
          <w:tab/>
        </w:r>
        <w:r w:rsidR="00D14D2D">
          <w:rPr>
            <w:noProof/>
            <w:webHidden/>
          </w:rPr>
          <w:fldChar w:fldCharType="begin"/>
        </w:r>
        <w:r w:rsidR="00D14D2D">
          <w:rPr>
            <w:noProof/>
            <w:webHidden/>
          </w:rPr>
          <w:instrText xml:space="preserve"> PAGEREF _Toc128329922 \h </w:instrText>
        </w:r>
        <w:r w:rsidR="00D14D2D">
          <w:rPr>
            <w:noProof/>
            <w:webHidden/>
          </w:rPr>
        </w:r>
        <w:r w:rsidR="00D14D2D">
          <w:rPr>
            <w:noProof/>
            <w:webHidden/>
          </w:rPr>
          <w:fldChar w:fldCharType="separate"/>
        </w:r>
        <w:r w:rsidR="00D14D2D">
          <w:rPr>
            <w:noProof/>
            <w:webHidden/>
          </w:rPr>
          <w:t>12</w:t>
        </w:r>
        <w:r w:rsidR="00D14D2D">
          <w:rPr>
            <w:noProof/>
            <w:webHidden/>
          </w:rPr>
          <w:fldChar w:fldCharType="end"/>
        </w:r>
      </w:hyperlink>
    </w:p>
    <w:p w14:paraId="42246F5E" w14:textId="6F152326" w:rsidR="00D14D2D" w:rsidRDefault="00000000">
      <w:pPr>
        <w:pStyle w:val="TOC1"/>
        <w:tabs>
          <w:tab w:val="right" w:leader="dot" w:pos="9016"/>
        </w:tabs>
        <w:rPr>
          <w:rFonts w:eastAsiaTheme="minorEastAsia"/>
          <w:noProof/>
          <w:lang w:eastAsia="en-GB"/>
        </w:rPr>
      </w:pPr>
      <w:hyperlink w:anchor="_Toc128329923" w:history="1">
        <w:r w:rsidR="00D14D2D" w:rsidRPr="00531D9E">
          <w:rPr>
            <w:rStyle w:val="Hyperlink"/>
            <w:noProof/>
          </w:rPr>
          <w:t>1 ORGANISATION OF OUT-PATIENT CARE</w:t>
        </w:r>
        <w:r w:rsidR="00D14D2D">
          <w:rPr>
            <w:noProof/>
            <w:webHidden/>
          </w:rPr>
          <w:tab/>
        </w:r>
        <w:r w:rsidR="00D14D2D">
          <w:rPr>
            <w:noProof/>
            <w:webHidden/>
          </w:rPr>
          <w:fldChar w:fldCharType="begin"/>
        </w:r>
        <w:r w:rsidR="00D14D2D">
          <w:rPr>
            <w:noProof/>
            <w:webHidden/>
          </w:rPr>
          <w:instrText xml:space="preserve"> PAGEREF _Toc128329923 \h </w:instrText>
        </w:r>
        <w:r w:rsidR="00D14D2D">
          <w:rPr>
            <w:noProof/>
            <w:webHidden/>
          </w:rPr>
        </w:r>
        <w:r w:rsidR="00D14D2D">
          <w:rPr>
            <w:noProof/>
            <w:webHidden/>
          </w:rPr>
          <w:fldChar w:fldCharType="separate"/>
        </w:r>
        <w:r w:rsidR="00D14D2D">
          <w:rPr>
            <w:noProof/>
            <w:webHidden/>
          </w:rPr>
          <w:t>12</w:t>
        </w:r>
        <w:r w:rsidR="00D14D2D">
          <w:rPr>
            <w:noProof/>
            <w:webHidden/>
          </w:rPr>
          <w:fldChar w:fldCharType="end"/>
        </w:r>
      </w:hyperlink>
    </w:p>
    <w:p w14:paraId="0AD136ED" w14:textId="642D138E" w:rsidR="00D14D2D" w:rsidRDefault="00000000">
      <w:pPr>
        <w:pStyle w:val="TOC2"/>
        <w:tabs>
          <w:tab w:val="right" w:leader="dot" w:pos="9016"/>
        </w:tabs>
        <w:rPr>
          <w:rFonts w:eastAsiaTheme="minorEastAsia"/>
          <w:noProof/>
          <w:lang w:eastAsia="en-GB"/>
        </w:rPr>
      </w:pPr>
      <w:hyperlink w:anchor="_Toc128329924" w:history="1">
        <w:r w:rsidR="00D14D2D" w:rsidRPr="00531D9E">
          <w:rPr>
            <w:rStyle w:val="Hyperlink"/>
            <w:noProof/>
          </w:rPr>
          <w:t>Statements of Recommendation</w:t>
        </w:r>
        <w:r w:rsidR="00D14D2D">
          <w:rPr>
            <w:noProof/>
            <w:webHidden/>
          </w:rPr>
          <w:tab/>
        </w:r>
        <w:r w:rsidR="00D14D2D">
          <w:rPr>
            <w:noProof/>
            <w:webHidden/>
          </w:rPr>
          <w:fldChar w:fldCharType="begin"/>
        </w:r>
        <w:r w:rsidR="00D14D2D">
          <w:rPr>
            <w:noProof/>
            <w:webHidden/>
          </w:rPr>
          <w:instrText xml:space="preserve"> PAGEREF _Toc128329924 \h </w:instrText>
        </w:r>
        <w:r w:rsidR="00D14D2D">
          <w:rPr>
            <w:noProof/>
            <w:webHidden/>
          </w:rPr>
        </w:r>
        <w:r w:rsidR="00D14D2D">
          <w:rPr>
            <w:noProof/>
            <w:webHidden/>
          </w:rPr>
          <w:fldChar w:fldCharType="separate"/>
        </w:r>
        <w:r w:rsidR="00D14D2D">
          <w:rPr>
            <w:noProof/>
            <w:webHidden/>
          </w:rPr>
          <w:t>12</w:t>
        </w:r>
        <w:r w:rsidR="00D14D2D">
          <w:rPr>
            <w:noProof/>
            <w:webHidden/>
          </w:rPr>
          <w:fldChar w:fldCharType="end"/>
        </w:r>
      </w:hyperlink>
    </w:p>
    <w:p w14:paraId="1734EA68" w14:textId="0302C1AF" w:rsidR="00D14D2D" w:rsidRDefault="00000000">
      <w:pPr>
        <w:pStyle w:val="TOC2"/>
        <w:tabs>
          <w:tab w:val="right" w:leader="dot" w:pos="9016"/>
        </w:tabs>
        <w:rPr>
          <w:rFonts w:eastAsiaTheme="minorEastAsia"/>
          <w:noProof/>
          <w:lang w:eastAsia="en-GB"/>
        </w:rPr>
      </w:pPr>
      <w:hyperlink w:anchor="_Toc128329925" w:history="1">
        <w:r w:rsidR="00D14D2D" w:rsidRPr="00531D9E">
          <w:rPr>
            <w:rStyle w:val="Hyperlink"/>
            <w:noProof/>
          </w:rPr>
          <w:t>Rationale</w:t>
        </w:r>
        <w:r w:rsidR="00D14D2D">
          <w:rPr>
            <w:noProof/>
            <w:webHidden/>
          </w:rPr>
          <w:tab/>
        </w:r>
        <w:r w:rsidR="00D14D2D">
          <w:rPr>
            <w:noProof/>
            <w:webHidden/>
          </w:rPr>
          <w:fldChar w:fldCharType="begin"/>
        </w:r>
        <w:r w:rsidR="00D14D2D">
          <w:rPr>
            <w:noProof/>
            <w:webHidden/>
          </w:rPr>
          <w:instrText xml:space="preserve"> PAGEREF _Toc128329925 \h </w:instrText>
        </w:r>
        <w:r w:rsidR="00D14D2D">
          <w:rPr>
            <w:noProof/>
            <w:webHidden/>
          </w:rPr>
        </w:r>
        <w:r w:rsidR="00D14D2D">
          <w:rPr>
            <w:noProof/>
            <w:webHidden/>
          </w:rPr>
          <w:fldChar w:fldCharType="separate"/>
        </w:r>
        <w:r w:rsidR="00D14D2D">
          <w:rPr>
            <w:noProof/>
            <w:webHidden/>
          </w:rPr>
          <w:t>12</w:t>
        </w:r>
        <w:r w:rsidR="00D14D2D">
          <w:rPr>
            <w:noProof/>
            <w:webHidden/>
          </w:rPr>
          <w:fldChar w:fldCharType="end"/>
        </w:r>
      </w:hyperlink>
    </w:p>
    <w:p w14:paraId="6411561F" w14:textId="5AC2D321" w:rsidR="00D14D2D" w:rsidRDefault="00000000">
      <w:pPr>
        <w:pStyle w:val="TOC2"/>
        <w:tabs>
          <w:tab w:val="right" w:leader="dot" w:pos="9016"/>
        </w:tabs>
        <w:rPr>
          <w:rFonts w:eastAsiaTheme="minorEastAsia"/>
          <w:noProof/>
          <w:lang w:eastAsia="en-GB"/>
        </w:rPr>
      </w:pPr>
      <w:hyperlink w:anchor="_Toc128329926" w:history="1">
        <w:r w:rsidR="00D14D2D" w:rsidRPr="00531D9E">
          <w:rPr>
            <w:rStyle w:val="Hyperlink"/>
            <w:noProof/>
          </w:rPr>
          <w:t>References</w:t>
        </w:r>
        <w:r w:rsidR="00D14D2D">
          <w:rPr>
            <w:noProof/>
            <w:webHidden/>
          </w:rPr>
          <w:tab/>
        </w:r>
        <w:r w:rsidR="00D14D2D">
          <w:rPr>
            <w:noProof/>
            <w:webHidden/>
          </w:rPr>
          <w:fldChar w:fldCharType="begin"/>
        </w:r>
        <w:r w:rsidR="00D14D2D">
          <w:rPr>
            <w:noProof/>
            <w:webHidden/>
          </w:rPr>
          <w:instrText xml:space="preserve"> PAGEREF _Toc128329926 \h </w:instrText>
        </w:r>
        <w:r w:rsidR="00D14D2D">
          <w:rPr>
            <w:noProof/>
            <w:webHidden/>
          </w:rPr>
        </w:r>
        <w:r w:rsidR="00D14D2D">
          <w:rPr>
            <w:noProof/>
            <w:webHidden/>
          </w:rPr>
          <w:fldChar w:fldCharType="separate"/>
        </w:r>
        <w:r w:rsidR="00D14D2D">
          <w:rPr>
            <w:noProof/>
            <w:webHidden/>
          </w:rPr>
          <w:t>13</w:t>
        </w:r>
        <w:r w:rsidR="00D14D2D">
          <w:rPr>
            <w:noProof/>
            <w:webHidden/>
          </w:rPr>
          <w:fldChar w:fldCharType="end"/>
        </w:r>
      </w:hyperlink>
    </w:p>
    <w:p w14:paraId="0821C1E6" w14:textId="4D2251D3" w:rsidR="00D14D2D" w:rsidRDefault="00000000">
      <w:pPr>
        <w:pStyle w:val="TOC1"/>
        <w:tabs>
          <w:tab w:val="right" w:leader="dot" w:pos="9016"/>
        </w:tabs>
        <w:rPr>
          <w:rFonts w:eastAsiaTheme="minorEastAsia"/>
          <w:noProof/>
          <w:lang w:eastAsia="en-GB"/>
        </w:rPr>
      </w:pPr>
      <w:hyperlink w:anchor="_Toc128329927" w:history="1">
        <w:r w:rsidR="00D14D2D" w:rsidRPr="00531D9E">
          <w:rPr>
            <w:rStyle w:val="Hyperlink"/>
            <w:noProof/>
          </w:rPr>
          <w:t xml:space="preserve">2 </w:t>
        </w:r>
        <w:r w:rsidR="00D14D2D" w:rsidRPr="00531D9E">
          <w:rPr>
            <w:rStyle w:val="Hyperlink"/>
            <w:rFonts w:cstheme="minorHAnsi"/>
            <w:noProof/>
          </w:rPr>
          <w:t>MANAGEMENT OF IMMUNOSUPPRESSION IN FAILING ALLOGRAFTS</w:t>
        </w:r>
        <w:r w:rsidR="00D14D2D">
          <w:rPr>
            <w:noProof/>
            <w:webHidden/>
          </w:rPr>
          <w:tab/>
        </w:r>
        <w:r w:rsidR="00D14D2D">
          <w:rPr>
            <w:noProof/>
            <w:webHidden/>
          </w:rPr>
          <w:fldChar w:fldCharType="begin"/>
        </w:r>
        <w:r w:rsidR="00D14D2D">
          <w:rPr>
            <w:noProof/>
            <w:webHidden/>
          </w:rPr>
          <w:instrText xml:space="preserve"> PAGEREF _Toc128329927 \h </w:instrText>
        </w:r>
        <w:r w:rsidR="00D14D2D">
          <w:rPr>
            <w:noProof/>
            <w:webHidden/>
          </w:rPr>
        </w:r>
        <w:r w:rsidR="00D14D2D">
          <w:rPr>
            <w:noProof/>
            <w:webHidden/>
          </w:rPr>
          <w:fldChar w:fldCharType="separate"/>
        </w:r>
        <w:r w:rsidR="00D14D2D">
          <w:rPr>
            <w:noProof/>
            <w:webHidden/>
          </w:rPr>
          <w:t>13</w:t>
        </w:r>
        <w:r w:rsidR="00D14D2D">
          <w:rPr>
            <w:noProof/>
            <w:webHidden/>
          </w:rPr>
          <w:fldChar w:fldCharType="end"/>
        </w:r>
      </w:hyperlink>
    </w:p>
    <w:p w14:paraId="121857D8" w14:textId="13BF97B4" w:rsidR="00D14D2D" w:rsidRDefault="00000000">
      <w:pPr>
        <w:pStyle w:val="TOC2"/>
        <w:tabs>
          <w:tab w:val="right" w:leader="dot" w:pos="9016"/>
        </w:tabs>
        <w:rPr>
          <w:rFonts w:eastAsiaTheme="minorEastAsia"/>
          <w:noProof/>
          <w:lang w:eastAsia="en-GB"/>
        </w:rPr>
      </w:pPr>
      <w:hyperlink w:anchor="_Toc128329928" w:history="1">
        <w:r w:rsidR="00D14D2D" w:rsidRPr="00531D9E">
          <w:rPr>
            <w:rStyle w:val="Hyperlink"/>
            <w:rFonts w:eastAsia="Arial" w:cstheme="minorHAnsi"/>
            <w:noProof/>
          </w:rPr>
          <w:t>Statements of Recommendation</w:t>
        </w:r>
        <w:r w:rsidR="00D14D2D">
          <w:rPr>
            <w:noProof/>
            <w:webHidden/>
          </w:rPr>
          <w:tab/>
        </w:r>
        <w:r w:rsidR="00D14D2D">
          <w:rPr>
            <w:noProof/>
            <w:webHidden/>
          </w:rPr>
          <w:fldChar w:fldCharType="begin"/>
        </w:r>
        <w:r w:rsidR="00D14D2D">
          <w:rPr>
            <w:noProof/>
            <w:webHidden/>
          </w:rPr>
          <w:instrText xml:space="preserve"> PAGEREF _Toc128329928 \h </w:instrText>
        </w:r>
        <w:r w:rsidR="00D14D2D">
          <w:rPr>
            <w:noProof/>
            <w:webHidden/>
          </w:rPr>
        </w:r>
        <w:r w:rsidR="00D14D2D">
          <w:rPr>
            <w:noProof/>
            <w:webHidden/>
          </w:rPr>
          <w:fldChar w:fldCharType="separate"/>
        </w:r>
        <w:r w:rsidR="00D14D2D">
          <w:rPr>
            <w:noProof/>
            <w:webHidden/>
          </w:rPr>
          <w:t>13</w:t>
        </w:r>
        <w:r w:rsidR="00D14D2D">
          <w:rPr>
            <w:noProof/>
            <w:webHidden/>
          </w:rPr>
          <w:fldChar w:fldCharType="end"/>
        </w:r>
      </w:hyperlink>
    </w:p>
    <w:p w14:paraId="4AEEB14A" w14:textId="02773762" w:rsidR="00D14D2D" w:rsidRDefault="00000000">
      <w:pPr>
        <w:pStyle w:val="TOC2"/>
        <w:tabs>
          <w:tab w:val="right" w:leader="dot" w:pos="9016"/>
        </w:tabs>
        <w:rPr>
          <w:rFonts w:eastAsiaTheme="minorEastAsia"/>
          <w:noProof/>
          <w:lang w:eastAsia="en-GB"/>
        </w:rPr>
      </w:pPr>
      <w:hyperlink w:anchor="_Toc128329929" w:history="1">
        <w:r w:rsidR="00D14D2D" w:rsidRPr="00531D9E">
          <w:rPr>
            <w:rStyle w:val="Hyperlink"/>
            <w:rFonts w:cstheme="minorHAnsi"/>
            <w:noProof/>
          </w:rPr>
          <w:t>Rationale</w:t>
        </w:r>
        <w:r w:rsidR="00D14D2D">
          <w:rPr>
            <w:noProof/>
            <w:webHidden/>
          </w:rPr>
          <w:tab/>
        </w:r>
        <w:r w:rsidR="00D14D2D">
          <w:rPr>
            <w:noProof/>
            <w:webHidden/>
          </w:rPr>
          <w:fldChar w:fldCharType="begin"/>
        </w:r>
        <w:r w:rsidR="00D14D2D">
          <w:rPr>
            <w:noProof/>
            <w:webHidden/>
          </w:rPr>
          <w:instrText xml:space="preserve"> PAGEREF _Toc128329929 \h </w:instrText>
        </w:r>
        <w:r w:rsidR="00D14D2D">
          <w:rPr>
            <w:noProof/>
            <w:webHidden/>
          </w:rPr>
        </w:r>
        <w:r w:rsidR="00D14D2D">
          <w:rPr>
            <w:noProof/>
            <w:webHidden/>
          </w:rPr>
          <w:fldChar w:fldCharType="separate"/>
        </w:r>
        <w:r w:rsidR="00D14D2D">
          <w:rPr>
            <w:noProof/>
            <w:webHidden/>
          </w:rPr>
          <w:t>14</w:t>
        </w:r>
        <w:r w:rsidR="00D14D2D">
          <w:rPr>
            <w:noProof/>
            <w:webHidden/>
          </w:rPr>
          <w:fldChar w:fldCharType="end"/>
        </w:r>
      </w:hyperlink>
    </w:p>
    <w:p w14:paraId="42144A16" w14:textId="5270AE5A" w:rsidR="00D14D2D" w:rsidRDefault="00000000">
      <w:pPr>
        <w:pStyle w:val="TOC3"/>
        <w:tabs>
          <w:tab w:val="right" w:leader="dot" w:pos="9016"/>
        </w:tabs>
        <w:rPr>
          <w:rFonts w:eastAsiaTheme="minorEastAsia"/>
          <w:noProof/>
          <w:lang w:eastAsia="en-GB"/>
        </w:rPr>
      </w:pPr>
      <w:hyperlink w:anchor="_Toc128329930" w:history="1">
        <w:r w:rsidR="00D14D2D" w:rsidRPr="00531D9E">
          <w:rPr>
            <w:rStyle w:val="Hyperlink"/>
            <w:rFonts w:cstheme="minorHAnsi"/>
            <w:noProof/>
          </w:rPr>
          <w:t>2.1 Introduction</w:t>
        </w:r>
        <w:r w:rsidR="00D14D2D">
          <w:rPr>
            <w:noProof/>
            <w:webHidden/>
          </w:rPr>
          <w:tab/>
        </w:r>
        <w:r w:rsidR="00D14D2D">
          <w:rPr>
            <w:noProof/>
            <w:webHidden/>
          </w:rPr>
          <w:fldChar w:fldCharType="begin"/>
        </w:r>
        <w:r w:rsidR="00D14D2D">
          <w:rPr>
            <w:noProof/>
            <w:webHidden/>
          </w:rPr>
          <w:instrText xml:space="preserve"> PAGEREF _Toc128329930 \h </w:instrText>
        </w:r>
        <w:r w:rsidR="00D14D2D">
          <w:rPr>
            <w:noProof/>
            <w:webHidden/>
          </w:rPr>
        </w:r>
        <w:r w:rsidR="00D14D2D">
          <w:rPr>
            <w:noProof/>
            <w:webHidden/>
          </w:rPr>
          <w:fldChar w:fldCharType="separate"/>
        </w:r>
        <w:r w:rsidR="00D14D2D">
          <w:rPr>
            <w:noProof/>
            <w:webHidden/>
          </w:rPr>
          <w:t>14</w:t>
        </w:r>
        <w:r w:rsidR="00D14D2D">
          <w:rPr>
            <w:noProof/>
            <w:webHidden/>
          </w:rPr>
          <w:fldChar w:fldCharType="end"/>
        </w:r>
      </w:hyperlink>
    </w:p>
    <w:p w14:paraId="1F6AFE8B" w14:textId="40911754" w:rsidR="00D14D2D" w:rsidRDefault="00000000">
      <w:pPr>
        <w:pStyle w:val="TOC3"/>
        <w:tabs>
          <w:tab w:val="right" w:leader="dot" w:pos="9016"/>
        </w:tabs>
        <w:rPr>
          <w:rFonts w:eastAsiaTheme="minorEastAsia"/>
          <w:noProof/>
          <w:lang w:eastAsia="en-GB"/>
        </w:rPr>
      </w:pPr>
      <w:hyperlink w:anchor="_Toc128329931" w:history="1">
        <w:r w:rsidR="00D14D2D" w:rsidRPr="00531D9E">
          <w:rPr>
            <w:rStyle w:val="Hyperlink"/>
            <w:rFonts w:eastAsia="Arial" w:cstheme="minorHAnsi"/>
            <w:noProof/>
          </w:rPr>
          <w:t>2.2 Patient considered for retransplantation</w:t>
        </w:r>
        <w:r w:rsidR="00D14D2D">
          <w:rPr>
            <w:noProof/>
            <w:webHidden/>
          </w:rPr>
          <w:tab/>
        </w:r>
        <w:r w:rsidR="00D14D2D">
          <w:rPr>
            <w:noProof/>
            <w:webHidden/>
          </w:rPr>
          <w:fldChar w:fldCharType="begin"/>
        </w:r>
        <w:r w:rsidR="00D14D2D">
          <w:rPr>
            <w:noProof/>
            <w:webHidden/>
          </w:rPr>
          <w:instrText xml:space="preserve"> PAGEREF _Toc128329931 \h </w:instrText>
        </w:r>
        <w:r w:rsidR="00D14D2D">
          <w:rPr>
            <w:noProof/>
            <w:webHidden/>
          </w:rPr>
        </w:r>
        <w:r w:rsidR="00D14D2D">
          <w:rPr>
            <w:noProof/>
            <w:webHidden/>
          </w:rPr>
          <w:fldChar w:fldCharType="separate"/>
        </w:r>
        <w:r w:rsidR="00D14D2D">
          <w:rPr>
            <w:noProof/>
            <w:webHidden/>
          </w:rPr>
          <w:t>15</w:t>
        </w:r>
        <w:r w:rsidR="00D14D2D">
          <w:rPr>
            <w:noProof/>
            <w:webHidden/>
          </w:rPr>
          <w:fldChar w:fldCharType="end"/>
        </w:r>
      </w:hyperlink>
    </w:p>
    <w:p w14:paraId="66B3D816" w14:textId="236B36A6" w:rsidR="00D14D2D" w:rsidRDefault="00000000">
      <w:pPr>
        <w:pStyle w:val="TOC4"/>
        <w:tabs>
          <w:tab w:val="left" w:pos="1540"/>
          <w:tab w:val="right" w:leader="dot" w:pos="9016"/>
        </w:tabs>
        <w:rPr>
          <w:rFonts w:eastAsiaTheme="minorEastAsia"/>
          <w:noProof/>
          <w:lang w:eastAsia="en-GB"/>
        </w:rPr>
      </w:pPr>
      <w:hyperlink w:anchor="_Toc128329932" w:history="1">
        <w:r w:rsidR="00D14D2D" w:rsidRPr="00531D9E">
          <w:rPr>
            <w:rStyle w:val="Hyperlink"/>
            <w:rFonts w:eastAsia="Arial" w:cstheme="minorHAnsi"/>
            <w:noProof/>
          </w:rPr>
          <w:t xml:space="preserve">2.2.1 </w:t>
        </w:r>
        <w:r w:rsidR="00D14D2D">
          <w:rPr>
            <w:rFonts w:eastAsiaTheme="minorEastAsia"/>
            <w:noProof/>
            <w:lang w:eastAsia="en-GB"/>
          </w:rPr>
          <w:tab/>
        </w:r>
        <w:r w:rsidR="00D14D2D" w:rsidRPr="00531D9E">
          <w:rPr>
            <w:rStyle w:val="Hyperlink"/>
            <w:rFonts w:eastAsia="Arial" w:cstheme="minorHAnsi"/>
            <w:noProof/>
          </w:rPr>
          <w:t xml:space="preserve"> Risk of alloimmunisation versus continued immunosuppression</w:t>
        </w:r>
        <w:r w:rsidR="00D14D2D">
          <w:rPr>
            <w:noProof/>
            <w:webHidden/>
          </w:rPr>
          <w:tab/>
        </w:r>
        <w:r w:rsidR="00D14D2D">
          <w:rPr>
            <w:noProof/>
            <w:webHidden/>
          </w:rPr>
          <w:fldChar w:fldCharType="begin"/>
        </w:r>
        <w:r w:rsidR="00D14D2D">
          <w:rPr>
            <w:noProof/>
            <w:webHidden/>
          </w:rPr>
          <w:instrText xml:space="preserve"> PAGEREF _Toc128329932 \h </w:instrText>
        </w:r>
        <w:r w:rsidR="00D14D2D">
          <w:rPr>
            <w:noProof/>
            <w:webHidden/>
          </w:rPr>
        </w:r>
        <w:r w:rsidR="00D14D2D">
          <w:rPr>
            <w:noProof/>
            <w:webHidden/>
          </w:rPr>
          <w:fldChar w:fldCharType="separate"/>
        </w:r>
        <w:r w:rsidR="00D14D2D">
          <w:rPr>
            <w:noProof/>
            <w:webHidden/>
          </w:rPr>
          <w:t>15</w:t>
        </w:r>
        <w:r w:rsidR="00D14D2D">
          <w:rPr>
            <w:noProof/>
            <w:webHidden/>
          </w:rPr>
          <w:fldChar w:fldCharType="end"/>
        </w:r>
      </w:hyperlink>
    </w:p>
    <w:p w14:paraId="1C75A9AC" w14:textId="32CCCF82" w:rsidR="00D14D2D" w:rsidRDefault="00000000">
      <w:pPr>
        <w:pStyle w:val="TOC4"/>
        <w:tabs>
          <w:tab w:val="left" w:pos="1540"/>
          <w:tab w:val="right" w:leader="dot" w:pos="9016"/>
        </w:tabs>
        <w:rPr>
          <w:rFonts w:eastAsiaTheme="minorEastAsia"/>
          <w:noProof/>
          <w:lang w:eastAsia="en-GB"/>
        </w:rPr>
      </w:pPr>
      <w:hyperlink w:anchor="_Toc128329933" w:history="1">
        <w:r w:rsidR="00D14D2D" w:rsidRPr="00531D9E">
          <w:rPr>
            <w:rStyle w:val="Hyperlink"/>
            <w:rFonts w:eastAsia="Arial" w:cstheme="minorHAnsi"/>
            <w:noProof/>
          </w:rPr>
          <w:t xml:space="preserve">2.2.2 </w:t>
        </w:r>
        <w:r w:rsidR="00D14D2D">
          <w:rPr>
            <w:rFonts w:eastAsiaTheme="minorEastAsia"/>
            <w:noProof/>
            <w:lang w:eastAsia="en-GB"/>
          </w:rPr>
          <w:tab/>
        </w:r>
        <w:r w:rsidR="00D14D2D" w:rsidRPr="00531D9E">
          <w:rPr>
            <w:rStyle w:val="Hyperlink"/>
            <w:rFonts w:eastAsia="Arial" w:cstheme="minorHAnsi"/>
            <w:noProof/>
          </w:rPr>
          <w:t>HLA-specific antibody screening</w:t>
        </w:r>
        <w:r w:rsidR="00D14D2D">
          <w:rPr>
            <w:noProof/>
            <w:webHidden/>
          </w:rPr>
          <w:tab/>
        </w:r>
        <w:r w:rsidR="00D14D2D">
          <w:rPr>
            <w:noProof/>
            <w:webHidden/>
          </w:rPr>
          <w:fldChar w:fldCharType="begin"/>
        </w:r>
        <w:r w:rsidR="00D14D2D">
          <w:rPr>
            <w:noProof/>
            <w:webHidden/>
          </w:rPr>
          <w:instrText xml:space="preserve"> PAGEREF _Toc128329933 \h </w:instrText>
        </w:r>
        <w:r w:rsidR="00D14D2D">
          <w:rPr>
            <w:noProof/>
            <w:webHidden/>
          </w:rPr>
        </w:r>
        <w:r w:rsidR="00D14D2D">
          <w:rPr>
            <w:noProof/>
            <w:webHidden/>
          </w:rPr>
          <w:fldChar w:fldCharType="separate"/>
        </w:r>
        <w:r w:rsidR="00D14D2D">
          <w:rPr>
            <w:noProof/>
            <w:webHidden/>
          </w:rPr>
          <w:t>16</w:t>
        </w:r>
        <w:r w:rsidR="00D14D2D">
          <w:rPr>
            <w:noProof/>
            <w:webHidden/>
          </w:rPr>
          <w:fldChar w:fldCharType="end"/>
        </w:r>
      </w:hyperlink>
    </w:p>
    <w:p w14:paraId="68FAF19D" w14:textId="7670D936" w:rsidR="00D14D2D" w:rsidRDefault="00000000">
      <w:pPr>
        <w:pStyle w:val="TOC3"/>
        <w:tabs>
          <w:tab w:val="right" w:leader="dot" w:pos="9016"/>
        </w:tabs>
        <w:rPr>
          <w:rFonts w:eastAsiaTheme="minorEastAsia"/>
          <w:noProof/>
          <w:lang w:eastAsia="en-GB"/>
        </w:rPr>
      </w:pPr>
      <w:hyperlink w:anchor="_Toc128329934" w:history="1">
        <w:r w:rsidR="00D14D2D" w:rsidRPr="00531D9E">
          <w:rPr>
            <w:rStyle w:val="Hyperlink"/>
            <w:rFonts w:eastAsia="Arial" w:cstheme="minorHAnsi"/>
            <w:noProof/>
          </w:rPr>
          <w:t>2.3 Patient not to be considered for relisting</w:t>
        </w:r>
        <w:r w:rsidR="00D14D2D">
          <w:rPr>
            <w:noProof/>
            <w:webHidden/>
          </w:rPr>
          <w:tab/>
        </w:r>
        <w:r w:rsidR="00D14D2D">
          <w:rPr>
            <w:noProof/>
            <w:webHidden/>
          </w:rPr>
          <w:fldChar w:fldCharType="begin"/>
        </w:r>
        <w:r w:rsidR="00D14D2D">
          <w:rPr>
            <w:noProof/>
            <w:webHidden/>
          </w:rPr>
          <w:instrText xml:space="preserve"> PAGEREF _Toc128329934 \h </w:instrText>
        </w:r>
        <w:r w:rsidR="00D14D2D">
          <w:rPr>
            <w:noProof/>
            <w:webHidden/>
          </w:rPr>
        </w:r>
        <w:r w:rsidR="00D14D2D">
          <w:rPr>
            <w:noProof/>
            <w:webHidden/>
          </w:rPr>
          <w:fldChar w:fldCharType="separate"/>
        </w:r>
        <w:r w:rsidR="00D14D2D">
          <w:rPr>
            <w:noProof/>
            <w:webHidden/>
          </w:rPr>
          <w:t>17</w:t>
        </w:r>
        <w:r w:rsidR="00D14D2D">
          <w:rPr>
            <w:noProof/>
            <w:webHidden/>
          </w:rPr>
          <w:fldChar w:fldCharType="end"/>
        </w:r>
      </w:hyperlink>
    </w:p>
    <w:p w14:paraId="7E1414D5" w14:textId="74433C24" w:rsidR="00D14D2D" w:rsidRDefault="00000000">
      <w:pPr>
        <w:pStyle w:val="TOC3"/>
        <w:tabs>
          <w:tab w:val="right" w:leader="dot" w:pos="9016"/>
        </w:tabs>
        <w:rPr>
          <w:rFonts w:eastAsiaTheme="minorEastAsia"/>
          <w:noProof/>
          <w:lang w:eastAsia="en-GB"/>
        </w:rPr>
      </w:pPr>
      <w:hyperlink w:anchor="_Toc128329935" w:history="1">
        <w:r w:rsidR="00D14D2D" w:rsidRPr="00531D9E">
          <w:rPr>
            <w:rStyle w:val="Hyperlink"/>
            <w:rFonts w:eastAsia="Arial"/>
            <w:noProof/>
          </w:rPr>
          <w:t>2.4 Graft Intolerance Syndrome</w:t>
        </w:r>
        <w:r w:rsidR="00D14D2D">
          <w:rPr>
            <w:noProof/>
            <w:webHidden/>
          </w:rPr>
          <w:tab/>
        </w:r>
        <w:r w:rsidR="00D14D2D">
          <w:rPr>
            <w:noProof/>
            <w:webHidden/>
          </w:rPr>
          <w:fldChar w:fldCharType="begin"/>
        </w:r>
        <w:r w:rsidR="00D14D2D">
          <w:rPr>
            <w:noProof/>
            <w:webHidden/>
          </w:rPr>
          <w:instrText xml:space="preserve"> PAGEREF _Toc128329935 \h </w:instrText>
        </w:r>
        <w:r w:rsidR="00D14D2D">
          <w:rPr>
            <w:noProof/>
            <w:webHidden/>
          </w:rPr>
        </w:r>
        <w:r w:rsidR="00D14D2D">
          <w:rPr>
            <w:noProof/>
            <w:webHidden/>
          </w:rPr>
          <w:fldChar w:fldCharType="separate"/>
        </w:r>
        <w:r w:rsidR="00D14D2D">
          <w:rPr>
            <w:noProof/>
            <w:webHidden/>
          </w:rPr>
          <w:t>17</w:t>
        </w:r>
        <w:r w:rsidR="00D14D2D">
          <w:rPr>
            <w:noProof/>
            <w:webHidden/>
          </w:rPr>
          <w:fldChar w:fldCharType="end"/>
        </w:r>
      </w:hyperlink>
    </w:p>
    <w:p w14:paraId="637038CC" w14:textId="1082772E" w:rsidR="00D14D2D" w:rsidRDefault="00000000">
      <w:pPr>
        <w:pStyle w:val="TOC3"/>
        <w:tabs>
          <w:tab w:val="right" w:leader="dot" w:pos="9016"/>
        </w:tabs>
        <w:rPr>
          <w:rFonts w:eastAsiaTheme="minorEastAsia"/>
          <w:noProof/>
          <w:lang w:eastAsia="en-GB"/>
        </w:rPr>
      </w:pPr>
      <w:hyperlink w:anchor="_Toc128329936" w:history="1">
        <w:r w:rsidR="00D14D2D" w:rsidRPr="00531D9E">
          <w:rPr>
            <w:rStyle w:val="Hyperlink"/>
            <w:rFonts w:eastAsia="Arial" w:cstheme="minorHAnsi"/>
            <w:noProof/>
          </w:rPr>
          <w:t>2.5 Management of immunosuppression following transplant nephrectomy</w:t>
        </w:r>
        <w:r w:rsidR="00D14D2D">
          <w:rPr>
            <w:noProof/>
            <w:webHidden/>
          </w:rPr>
          <w:tab/>
        </w:r>
        <w:r w:rsidR="00D14D2D">
          <w:rPr>
            <w:noProof/>
            <w:webHidden/>
          </w:rPr>
          <w:fldChar w:fldCharType="begin"/>
        </w:r>
        <w:r w:rsidR="00D14D2D">
          <w:rPr>
            <w:noProof/>
            <w:webHidden/>
          </w:rPr>
          <w:instrText xml:space="preserve"> PAGEREF _Toc128329936 \h </w:instrText>
        </w:r>
        <w:r w:rsidR="00D14D2D">
          <w:rPr>
            <w:noProof/>
            <w:webHidden/>
          </w:rPr>
        </w:r>
        <w:r w:rsidR="00D14D2D">
          <w:rPr>
            <w:noProof/>
            <w:webHidden/>
          </w:rPr>
          <w:fldChar w:fldCharType="separate"/>
        </w:r>
        <w:r w:rsidR="00D14D2D">
          <w:rPr>
            <w:noProof/>
            <w:webHidden/>
          </w:rPr>
          <w:t>18</w:t>
        </w:r>
        <w:r w:rsidR="00D14D2D">
          <w:rPr>
            <w:noProof/>
            <w:webHidden/>
          </w:rPr>
          <w:fldChar w:fldCharType="end"/>
        </w:r>
      </w:hyperlink>
    </w:p>
    <w:p w14:paraId="633FC90B" w14:textId="5D837538" w:rsidR="00D14D2D" w:rsidRDefault="00000000">
      <w:pPr>
        <w:pStyle w:val="TOC2"/>
        <w:tabs>
          <w:tab w:val="right" w:leader="dot" w:pos="9016"/>
        </w:tabs>
        <w:rPr>
          <w:rFonts w:eastAsiaTheme="minorEastAsia"/>
          <w:noProof/>
          <w:lang w:eastAsia="en-GB"/>
        </w:rPr>
      </w:pPr>
      <w:hyperlink w:anchor="_Toc128329937" w:history="1">
        <w:r w:rsidR="00D14D2D" w:rsidRPr="00531D9E">
          <w:rPr>
            <w:rStyle w:val="Hyperlink"/>
            <w:rFonts w:eastAsia="Arial" w:cstheme="minorHAnsi"/>
            <w:noProof/>
          </w:rPr>
          <w:t>References</w:t>
        </w:r>
        <w:r w:rsidR="00D14D2D">
          <w:rPr>
            <w:noProof/>
            <w:webHidden/>
          </w:rPr>
          <w:tab/>
        </w:r>
        <w:r w:rsidR="00D14D2D">
          <w:rPr>
            <w:noProof/>
            <w:webHidden/>
          </w:rPr>
          <w:fldChar w:fldCharType="begin"/>
        </w:r>
        <w:r w:rsidR="00D14D2D">
          <w:rPr>
            <w:noProof/>
            <w:webHidden/>
          </w:rPr>
          <w:instrText xml:space="preserve"> PAGEREF _Toc128329937 \h </w:instrText>
        </w:r>
        <w:r w:rsidR="00D14D2D">
          <w:rPr>
            <w:noProof/>
            <w:webHidden/>
          </w:rPr>
        </w:r>
        <w:r w:rsidR="00D14D2D">
          <w:rPr>
            <w:noProof/>
            <w:webHidden/>
          </w:rPr>
          <w:fldChar w:fldCharType="separate"/>
        </w:r>
        <w:r w:rsidR="00D14D2D">
          <w:rPr>
            <w:noProof/>
            <w:webHidden/>
          </w:rPr>
          <w:t>18</w:t>
        </w:r>
        <w:r w:rsidR="00D14D2D">
          <w:rPr>
            <w:noProof/>
            <w:webHidden/>
          </w:rPr>
          <w:fldChar w:fldCharType="end"/>
        </w:r>
      </w:hyperlink>
    </w:p>
    <w:p w14:paraId="21108A28" w14:textId="31AA4DC8" w:rsidR="00D14D2D" w:rsidRDefault="00000000">
      <w:pPr>
        <w:pStyle w:val="TOC1"/>
        <w:tabs>
          <w:tab w:val="right" w:leader="dot" w:pos="9016"/>
        </w:tabs>
        <w:rPr>
          <w:rFonts w:eastAsiaTheme="minorEastAsia"/>
          <w:noProof/>
          <w:lang w:eastAsia="en-GB"/>
        </w:rPr>
      </w:pPr>
      <w:hyperlink w:anchor="_Toc128329938" w:history="1">
        <w:r w:rsidR="00D14D2D" w:rsidRPr="00531D9E">
          <w:rPr>
            <w:rStyle w:val="Hyperlink"/>
            <w:noProof/>
          </w:rPr>
          <w:t>3 SURGICAL CONSIDERATIONS</w:t>
        </w:r>
        <w:r w:rsidR="00D14D2D">
          <w:rPr>
            <w:noProof/>
            <w:webHidden/>
          </w:rPr>
          <w:tab/>
        </w:r>
        <w:r w:rsidR="00D14D2D">
          <w:rPr>
            <w:noProof/>
            <w:webHidden/>
          </w:rPr>
          <w:fldChar w:fldCharType="begin"/>
        </w:r>
        <w:r w:rsidR="00D14D2D">
          <w:rPr>
            <w:noProof/>
            <w:webHidden/>
          </w:rPr>
          <w:instrText xml:space="preserve"> PAGEREF _Toc128329938 \h </w:instrText>
        </w:r>
        <w:r w:rsidR="00D14D2D">
          <w:rPr>
            <w:noProof/>
            <w:webHidden/>
          </w:rPr>
        </w:r>
        <w:r w:rsidR="00D14D2D">
          <w:rPr>
            <w:noProof/>
            <w:webHidden/>
          </w:rPr>
          <w:fldChar w:fldCharType="separate"/>
        </w:r>
        <w:r w:rsidR="00D14D2D">
          <w:rPr>
            <w:noProof/>
            <w:webHidden/>
          </w:rPr>
          <w:t>21</w:t>
        </w:r>
        <w:r w:rsidR="00D14D2D">
          <w:rPr>
            <w:noProof/>
            <w:webHidden/>
          </w:rPr>
          <w:fldChar w:fldCharType="end"/>
        </w:r>
      </w:hyperlink>
    </w:p>
    <w:p w14:paraId="1290EE3C" w14:textId="29AAEB9E" w:rsidR="00D14D2D" w:rsidRDefault="00000000">
      <w:pPr>
        <w:pStyle w:val="TOC2"/>
        <w:tabs>
          <w:tab w:val="right" w:leader="dot" w:pos="9016"/>
        </w:tabs>
        <w:rPr>
          <w:rFonts w:eastAsiaTheme="minorEastAsia"/>
          <w:noProof/>
          <w:lang w:eastAsia="en-GB"/>
        </w:rPr>
      </w:pPr>
      <w:hyperlink w:anchor="_Toc128329939" w:history="1">
        <w:r w:rsidR="00D14D2D" w:rsidRPr="00531D9E">
          <w:rPr>
            <w:rStyle w:val="Hyperlink"/>
            <w:noProof/>
          </w:rPr>
          <w:t>Statements of Recommendation</w:t>
        </w:r>
        <w:r w:rsidR="00D14D2D">
          <w:rPr>
            <w:noProof/>
            <w:webHidden/>
          </w:rPr>
          <w:tab/>
        </w:r>
        <w:r w:rsidR="00D14D2D">
          <w:rPr>
            <w:noProof/>
            <w:webHidden/>
          </w:rPr>
          <w:fldChar w:fldCharType="begin"/>
        </w:r>
        <w:r w:rsidR="00D14D2D">
          <w:rPr>
            <w:noProof/>
            <w:webHidden/>
          </w:rPr>
          <w:instrText xml:space="preserve"> PAGEREF _Toc128329939 \h </w:instrText>
        </w:r>
        <w:r w:rsidR="00D14D2D">
          <w:rPr>
            <w:noProof/>
            <w:webHidden/>
          </w:rPr>
        </w:r>
        <w:r w:rsidR="00D14D2D">
          <w:rPr>
            <w:noProof/>
            <w:webHidden/>
          </w:rPr>
          <w:fldChar w:fldCharType="separate"/>
        </w:r>
        <w:r w:rsidR="00D14D2D">
          <w:rPr>
            <w:noProof/>
            <w:webHidden/>
          </w:rPr>
          <w:t>21</w:t>
        </w:r>
        <w:r w:rsidR="00D14D2D">
          <w:rPr>
            <w:noProof/>
            <w:webHidden/>
          </w:rPr>
          <w:fldChar w:fldCharType="end"/>
        </w:r>
      </w:hyperlink>
    </w:p>
    <w:p w14:paraId="5D103522" w14:textId="63561B74" w:rsidR="00D14D2D" w:rsidRDefault="00000000">
      <w:pPr>
        <w:pStyle w:val="TOC2"/>
        <w:tabs>
          <w:tab w:val="right" w:leader="dot" w:pos="9016"/>
        </w:tabs>
        <w:rPr>
          <w:rFonts w:eastAsiaTheme="minorEastAsia"/>
          <w:noProof/>
          <w:lang w:eastAsia="en-GB"/>
        </w:rPr>
      </w:pPr>
      <w:hyperlink w:anchor="_Toc128329940" w:history="1">
        <w:r w:rsidR="00D14D2D" w:rsidRPr="00531D9E">
          <w:rPr>
            <w:rStyle w:val="Hyperlink"/>
            <w:noProof/>
          </w:rPr>
          <w:t>Rationale</w:t>
        </w:r>
        <w:r w:rsidR="00D14D2D">
          <w:rPr>
            <w:noProof/>
            <w:webHidden/>
          </w:rPr>
          <w:tab/>
        </w:r>
        <w:r w:rsidR="00D14D2D">
          <w:rPr>
            <w:noProof/>
            <w:webHidden/>
          </w:rPr>
          <w:fldChar w:fldCharType="begin"/>
        </w:r>
        <w:r w:rsidR="00D14D2D">
          <w:rPr>
            <w:noProof/>
            <w:webHidden/>
          </w:rPr>
          <w:instrText xml:space="preserve"> PAGEREF _Toc128329940 \h </w:instrText>
        </w:r>
        <w:r w:rsidR="00D14D2D">
          <w:rPr>
            <w:noProof/>
            <w:webHidden/>
          </w:rPr>
        </w:r>
        <w:r w:rsidR="00D14D2D">
          <w:rPr>
            <w:noProof/>
            <w:webHidden/>
          </w:rPr>
          <w:fldChar w:fldCharType="separate"/>
        </w:r>
        <w:r w:rsidR="00D14D2D">
          <w:rPr>
            <w:noProof/>
            <w:webHidden/>
          </w:rPr>
          <w:t>21</w:t>
        </w:r>
        <w:r w:rsidR="00D14D2D">
          <w:rPr>
            <w:noProof/>
            <w:webHidden/>
          </w:rPr>
          <w:fldChar w:fldCharType="end"/>
        </w:r>
      </w:hyperlink>
    </w:p>
    <w:p w14:paraId="51D3422D" w14:textId="0455FE23" w:rsidR="00D14D2D" w:rsidRDefault="00000000">
      <w:pPr>
        <w:pStyle w:val="TOC3"/>
        <w:tabs>
          <w:tab w:val="right" w:leader="dot" w:pos="9016"/>
        </w:tabs>
        <w:rPr>
          <w:rFonts w:eastAsiaTheme="minorEastAsia"/>
          <w:noProof/>
          <w:lang w:eastAsia="en-GB"/>
        </w:rPr>
      </w:pPr>
      <w:hyperlink w:anchor="_Toc128329941" w:history="1">
        <w:r w:rsidR="00D14D2D" w:rsidRPr="00531D9E">
          <w:rPr>
            <w:rStyle w:val="Hyperlink"/>
            <w:noProof/>
          </w:rPr>
          <w:t>3.1 Introduction</w:t>
        </w:r>
        <w:r w:rsidR="00D14D2D">
          <w:rPr>
            <w:noProof/>
            <w:webHidden/>
          </w:rPr>
          <w:tab/>
        </w:r>
        <w:r w:rsidR="00D14D2D">
          <w:rPr>
            <w:noProof/>
            <w:webHidden/>
          </w:rPr>
          <w:fldChar w:fldCharType="begin"/>
        </w:r>
        <w:r w:rsidR="00D14D2D">
          <w:rPr>
            <w:noProof/>
            <w:webHidden/>
          </w:rPr>
          <w:instrText xml:space="preserve"> PAGEREF _Toc128329941 \h </w:instrText>
        </w:r>
        <w:r w:rsidR="00D14D2D">
          <w:rPr>
            <w:noProof/>
            <w:webHidden/>
          </w:rPr>
        </w:r>
        <w:r w:rsidR="00D14D2D">
          <w:rPr>
            <w:noProof/>
            <w:webHidden/>
          </w:rPr>
          <w:fldChar w:fldCharType="separate"/>
        </w:r>
        <w:r w:rsidR="00D14D2D">
          <w:rPr>
            <w:noProof/>
            <w:webHidden/>
          </w:rPr>
          <w:t>21</w:t>
        </w:r>
        <w:r w:rsidR="00D14D2D">
          <w:rPr>
            <w:noProof/>
            <w:webHidden/>
          </w:rPr>
          <w:fldChar w:fldCharType="end"/>
        </w:r>
      </w:hyperlink>
    </w:p>
    <w:p w14:paraId="309E969C" w14:textId="72A36E79" w:rsidR="00D14D2D" w:rsidRDefault="00000000">
      <w:pPr>
        <w:pStyle w:val="TOC3"/>
        <w:tabs>
          <w:tab w:val="right" w:leader="dot" w:pos="9016"/>
        </w:tabs>
        <w:rPr>
          <w:rFonts w:eastAsiaTheme="minorEastAsia"/>
          <w:noProof/>
          <w:lang w:eastAsia="en-GB"/>
        </w:rPr>
      </w:pPr>
      <w:hyperlink w:anchor="_Toc128329942" w:history="1">
        <w:r w:rsidR="00D14D2D" w:rsidRPr="00531D9E">
          <w:rPr>
            <w:rStyle w:val="Hyperlink"/>
            <w:noProof/>
          </w:rPr>
          <w:t>3.2 Graft nephrectomy</w:t>
        </w:r>
        <w:r w:rsidR="00D14D2D">
          <w:rPr>
            <w:noProof/>
            <w:webHidden/>
          </w:rPr>
          <w:tab/>
        </w:r>
        <w:r w:rsidR="00D14D2D">
          <w:rPr>
            <w:noProof/>
            <w:webHidden/>
          </w:rPr>
          <w:fldChar w:fldCharType="begin"/>
        </w:r>
        <w:r w:rsidR="00D14D2D">
          <w:rPr>
            <w:noProof/>
            <w:webHidden/>
          </w:rPr>
          <w:instrText xml:space="preserve"> PAGEREF _Toc128329942 \h </w:instrText>
        </w:r>
        <w:r w:rsidR="00D14D2D">
          <w:rPr>
            <w:noProof/>
            <w:webHidden/>
          </w:rPr>
        </w:r>
        <w:r w:rsidR="00D14D2D">
          <w:rPr>
            <w:noProof/>
            <w:webHidden/>
          </w:rPr>
          <w:fldChar w:fldCharType="separate"/>
        </w:r>
        <w:r w:rsidR="00D14D2D">
          <w:rPr>
            <w:noProof/>
            <w:webHidden/>
          </w:rPr>
          <w:t>21</w:t>
        </w:r>
        <w:r w:rsidR="00D14D2D">
          <w:rPr>
            <w:noProof/>
            <w:webHidden/>
          </w:rPr>
          <w:fldChar w:fldCharType="end"/>
        </w:r>
      </w:hyperlink>
    </w:p>
    <w:p w14:paraId="4F04A57B" w14:textId="6025DB40" w:rsidR="00D14D2D" w:rsidRDefault="00000000">
      <w:pPr>
        <w:pStyle w:val="TOC4"/>
        <w:tabs>
          <w:tab w:val="left" w:pos="1540"/>
          <w:tab w:val="right" w:leader="dot" w:pos="9016"/>
        </w:tabs>
        <w:rPr>
          <w:rFonts w:eastAsiaTheme="minorEastAsia"/>
          <w:noProof/>
          <w:lang w:eastAsia="en-GB"/>
        </w:rPr>
      </w:pPr>
      <w:hyperlink w:anchor="_Toc128329943" w:history="1">
        <w:r w:rsidR="00D14D2D" w:rsidRPr="00531D9E">
          <w:rPr>
            <w:rStyle w:val="Hyperlink"/>
            <w:noProof/>
          </w:rPr>
          <w:t xml:space="preserve">3.2.1 </w:t>
        </w:r>
        <w:r w:rsidR="00D14D2D">
          <w:rPr>
            <w:rFonts w:eastAsiaTheme="minorEastAsia"/>
            <w:noProof/>
            <w:lang w:eastAsia="en-GB"/>
          </w:rPr>
          <w:tab/>
        </w:r>
        <w:r w:rsidR="00D14D2D" w:rsidRPr="00531D9E">
          <w:rPr>
            <w:rStyle w:val="Hyperlink"/>
            <w:noProof/>
          </w:rPr>
          <w:t>Indications</w:t>
        </w:r>
        <w:r w:rsidR="00D14D2D">
          <w:rPr>
            <w:noProof/>
            <w:webHidden/>
          </w:rPr>
          <w:tab/>
        </w:r>
        <w:r w:rsidR="00D14D2D">
          <w:rPr>
            <w:noProof/>
            <w:webHidden/>
          </w:rPr>
          <w:fldChar w:fldCharType="begin"/>
        </w:r>
        <w:r w:rsidR="00D14D2D">
          <w:rPr>
            <w:noProof/>
            <w:webHidden/>
          </w:rPr>
          <w:instrText xml:space="preserve"> PAGEREF _Toc128329943 \h </w:instrText>
        </w:r>
        <w:r w:rsidR="00D14D2D">
          <w:rPr>
            <w:noProof/>
            <w:webHidden/>
          </w:rPr>
        </w:r>
        <w:r w:rsidR="00D14D2D">
          <w:rPr>
            <w:noProof/>
            <w:webHidden/>
          </w:rPr>
          <w:fldChar w:fldCharType="separate"/>
        </w:r>
        <w:r w:rsidR="00D14D2D">
          <w:rPr>
            <w:noProof/>
            <w:webHidden/>
          </w:rPr>
          <w:t>21</w:t>
        </w:r>
        <w:r w:rsidR="00D14D2D">
          <w:rPr>
            <w:noProof/>
            <w:webHidden/>
          </w:rPr>
          <w:fldChar w:fldCharType="end"/>
        </w:r>
      </w:hyperlink>
    </w:p>
    <w:p w14:paraId="004D2C1D" w14:textId="5C04E334" w:rsidR="00D14D2D" w:rsidRDefault="00000000">
      <w:pPr>
        <w:pStyle w:val="TOC4"/>
        <w:tabs>
          <w:tab w:val="left" w:pos="1540"/>
          <w:tab w:val="right" w:leader="dot" w:pos="9016"/>
        </w:tabs>
        <w:rPr>
          <w:rFonts w:eastAsiaTheme="minorEastAsia"/>
          <w:noProof/>
          <w:lang w:eastAsia="en-GB"/>
        </w:rPr>
      </w:pPr>
      <w:hyperlink w:anchor="_Toc128329944" w:history="1">
        <w:r w:rsidR="00D14D2D" w:rsidRPr="00531D9E">
          <w:rPr>
            <w:rStyle w:val="Hyperlink"/>
            <w:noProof/>
          </w:rPr>
          <w:t xml:space="preserve">3.2.2 </w:t>
        </w:r>
        <w:r w:rsidR="00D14D2D">
          <w:rPr>
            <w:rFonts w:eastAsiaTheme="minorEastAsia"/>
            <w:noProof/>
            <w:lang w:eastAsia="en-GB"/>
          </w:rPr>
          <w:tab/>
        </w:r>
        <w:r w:rsidR="00D14D2D" w:rsidRPr="00531D9E">
          <w:rPr>
            <w:rStyle w:val="Hyperlink"/>
            <w:noProof/>
          </w:rPr>
          <w:t>Technique and prognosis</w:t>
        </w:r>
        <w:r w:rsidR="00D14D2D">
          <w:rPr>
            <w:noProof/>
            <w:webHidden/>
          </w:rPr>
          <w:tab/>
        </w:r>
        <w:r w:rsidR="00D14D2D">
          <w:rPr>
            <w:noProof/>
            <w:webHidden/>
          </w:rPr>
          <w:fldChar w:fldCharType="begin"/>
        </w:r>
        <w:r w:rsidR="00D14D2D">
          <w:rPr>
            <w:noProof/>
            <w:webHidden/>
          </w:rPr>
          <w:instrText xml:space="preserve"> PAGEREF _Toc128329944 \h </w:instrText>
        </w:r>
        <w:r w:rsidR="00D14D2D">
          <w:rPr>
            <w:noProof/>
            <w:webHidden/>
          </w:rPr>
        </w:r>
        <w:r w:rsidR="00D14D2D">
          <w:rPr>
            <w:noProof/>
            <w:webHidden/>
          </w:rPr>
          <w:fldChar w:fldCharType="separate"/>
        </w:r>
        <w:r w:rsidR="00D14D2D">
          <w:rPr>
            <w:noProof/>
            <w:webHidden/>
          </w:rPr>
          <w:t>22</w:t>
        </w:r>
        <w:r w:rsidR="00D14D2D">
          <w:rPr>
            <w:noProof/>
            <w:webHidden/>
          </w:rPr>
          <w:fldChar w:fldCharType="end"/>
        </w:r>
      </w:hyperlink>
    </w:p>
    <w:p w14:paraId="2BA21281" w14:textId="5291EAFB" w:rsidR="00D14D2D" w:rsidRDefault="00000000">
      <w:pPr>
        <w:pStyle w:val="TOC3"/>
        <w:tabs>
          <w:tab w:val="right" w:leader="dot" w:pos="9016"/>
        </w:tabs>
        <w:rPr>
          <w:rFonts w:eastAsiaTheme="minorEastAsia"/>
          <w:noProof/>
          <w:lang w:eastAsia="en-GB"/>
        </w:rPr>
      </w:pPr>
      <w:hyperlink w:anchor="_Toc128329945" w:history="1">
        <w:r w:rsidR="00D14D2D" w:rsidRPr="00531D9E">
          <w:rPr>
            <w:rStyle w:val="Hyperlink"/>
            <w:noProof/>
          </w:rPr>
          <w:t>3.3 Dialysis Access</w:t>
        </w:r>
        <w:r w:rsidR="00D14D2D">
          <w:rPr>
            <w:noProof/>
            <w:webHidden/>
          </w:rPr>
          <w:tab/>
        </w:r>
        <w:r w:rsidR="00D14D2D">
          <w:rPr>
            <w:noProof/>
            <w:webHidden/>
          </w:rPr>
          <w:fldChar w:fldCharType="begin"/>
        </w:r>
        <w:r w:rsidR="00D14D2D">
          <w:rPr>
            <w:noProof/>
            <w:webHidden/>
          </w:rPr>
          <w:instrText xml:space="preserve"> PAGEREF _Toc128329945 \h </w:instrText>
        </w:r>
        <w:r w:rsidR="00D14D2D">
          <w:rPr>
            <w:noProof/>
            <w:webHidden/>
          </w:rPr>
        </w:r>
        <w:r w:rsidR="00D14D2D">
          <w:rPr>
            <w:noProof/>
            <w:webHidden/>
          </w:rPr>
          <w:fldChar w:fldCharType="separate"/>
        </w:r>
        <w:r w:rsidR="00D14D2D">
          <w:rPr>
            <w:noProof/>
            <w:webHidden/>
          </w:rPr>
          <w:t>23</w:t>
        </w:r>
        <w:r w:rsidR="00D14D2D">
          <w:rPr>
            <w:noProof/>
            <w:webHidden/>
          </w:rPr>
          <w:fldChar w:fldCharType="end"/>
        </w:r>
      </w:hyperlink>
    </w:p>
    <w:p w14:paraId="03AC9AA9" w14:textId="259B91F5" w:rsidR="00D14D2D" w:rsidRDefault="00000000">
      <w:pPr>
        <w:pStyle w:val="TOC2"/>
        <w:tabs>
          <w:tab w:val="right" w:leader="dot" w:pos="9016"/>
        </w:tabs>
        <w:rPr>
          <w:rFonts w:eastAsiaTheme="minorEastAsia"/>
          <w:noProof/>
          <w:lang w:eastAsia="en-GB"/>
        </w:rPr>
      </w:pPr>
      <w:hyperlink w:anchor="_Toc128329946" w:history="1">
        <w:r w:rsidR="00D14D2D" w:rsidRPr="00531D9E">
          <w:rPr>
            <w:rStyle w:val="Hyperlink"/>
            <w:noProof/>
          </w:rPr>
          <w:t>References</w:t>
        </w:r>
        <w:r w:rsidR="00D14D2D">
          <w:rPr>
            <w:noProof/>
            <w:webHidden/>
          </w:rPr>
          <w:tab/>
        </w:r>
        <w:r w:rsidR="00D14D2D">
          <w:rPr>
            <w:noProof/>
            <w:webHidden/>
          </w:rPr>
          <w:fldChar w:fldCharType="begin"/>
        </w:r>
        <w:r w:rsidR="00D14D2D">
          <w:rPr>
            <w:noProof/>
            <w:webHidden/>
          </w:rPr>
          <w:instrText xml:space="preserve"> PAGEREF _Toc128329946 \h </w:instrText>
        </w:r>
        <w:r w:rsidR="00D14D2D">
          <w:rPr>
            <w:noProof/>
            <w:webHidden/>
          </w:rPr>
        </w:r>
        <w:r w:rsidR="00D14D2D">
          <w:rPr>
            <w:noProof/>
            <w:webHidden/>
          </w:rPr>
          <w:fldChar w:fldCharType="separate"/>
        </w:r>
        <w:r w:rsidR="00D14D2D">
          <w:rPr>
            <w:noProof/>
            <w:webHidden/>
          </w:rPr>
          <w:t>23</w:t>
        </w:r>
        <w:r w:rsidR="00D14D2D">
          <w:rPr>
            <w:noProof/>
            <w:webHidden/>
          </w:rPr>
          <w:fldChar w:fldCharType="end"/>
        </w:r>
      </w:hyperlink>
    </w:p>
    <w:p w14:paraId="0FB60550" w14:textId="74C1F537" w:rsidR="00D14D2D" w:rsidRDefault="00000000">
      <w:pPr>
        <w:pStyle w:val="TOC1"/>
        <w:tabs>
          <w:tab w:val="right" w:leader="dot" w:pos="9016"/>
        </w:tabs>
        <w:rPr>
          <w:rFonts w:eastAsiaTheme="minorEastAsia"/>
          <w:noProof/>
          <w:lang w:eastAsia="en-GB"/>
        </w:rPr>
      </w:pPr>
      <w:hyperlink w:anchor="_Toc128329947" w:history="1">
        <w:r w:rsidR="00D14D2D" w:rsidRPr="00531D9E">
          <w:rPr>
            <w:rStyle w:val="Hyperlink"/>
            <w:noProof/>
          </w:rPr>
          <w:t>4 PSYCHOSOCIAL ISSUES</w:t>
        </w:r>
        <w:r w:rsidR="00D14D2D">
          <w:rPr>
            <w:noProof/>
            <w:webHidden/>
          </w:rPr>
          <w:tab/>
        </w:r>
        <w:r w:rsidR="00D14D2D">
          <w:rPr>
            <w:noProof/>
            <w:webHidden/>
          </w:rPr>
          <w:fldChar w:fldCharType="begin"/>
        </w:r>
        <w:r w:rsidR="00D14D2D">
          <w:rPr>
            <w:noProof/>
            <w:webHidden/>
          </w:rPr>
          <w:instrText xml:space="preserve"> PAGEREF _Toc128329947 \h </w:instrText>
        </w:r>
        <w:r w:rsidR="00D14D2D">
          <w:rPr>
            <w:noProof/>
            <w:webHidden/>
          </w:rPr>
        </w:r>
        <w:r w:rsidR="00D14D2D">
          <w:rPr>
            <w:noProof/>
            <w:webHidden/>
          </w:rPr>
          <w:fldChar w:fldCharType="separate"/>
        </w:r>
        <w:r w:rsidR="00D14D2D">
          <w:rPr>
            <w:noProof/>
            <w:webHidden/>
          </w:rPr>
          <w:t>24</w:t>
        </w:r>
        <w:r w:rsidR="00D14D2D">
          <w:rPr>
            <w:noProof/>
            <w:webHidden/>
          </w:rPr>
          <w:fldChar w:fldCharType="end"/>
        </w:r>
      </w:hyperlink>
    </w:p>
    <w:p w14:paraId="54F67F37" w14:textId="1C0AA779" w:rsidR="00D14D2D" w:rsidRDefault="00000000">
      <w:pPr>
        <w:pStyle w:val="TOC2"/>
        <w:tabs>
          <w:tab w:val="right" w:leader="dot" w:pos="9016"/>
        </w:tabs>
        <w:rPr>
          <w:rFonts w:eastAsiaTheme="minorEastAsia"/>
          <w:noProof/>
          <w:lang w:eastAsia="en-GB"/>
        </w:rPr>
      </w:pPr>
      <w:hyperlink w:anchor="_Toc128329948" w:history="1">
        <w:r w:rsidR="00D14D2D" w:rsidRPr="00531D9E">
          <w:rPr>
            <w:rStyle w:val="Hyperlink"/>
            <w:noProof/>
          </w:rPr>
          <w:t>Statements of Recommendation</w:t>
        </w:r>
        <w:r w:rsidR="00D14D2D">
          <w:rPr>
            <w:noProof/>
            <w:webHidden/>
          </w:rPr>
          <w:tab/>
        </w:r>
        <w:r w:rsidR="00D14D2D">
          <w:rPr>
            <w:noProof/>
            <w:webHidden/>
          </w:rPr>
          <w:fldChar w:fldCharType="begin"/>
        </w:r>
        <w:r w:rsidR="00D14D2D">
          <w:rPr>
            <w:noProof/>
            <w:webHidden/>
          </w:rPr>
          <w:instrText xml:space="preserve"> PAGEREF _Toc128329948 \h </w:instrText>
        </w:r>
        <w:r w:rsidR="00D14D2D">
          <w:rPr>
            <w:noProof/>
            <w:webHidden/>
          </w:rPr>
        </w:r>
        <w:r w:rsidR="00D14D2D">
          <w:rPr>
            <w:noProof/>
            <w:webHidden/>
          </w:rPr>
          <w:fldChar w:fldCharType="separate"/>
        </w:r>
        <w:r w:rsidR="00D14D2D">
          <w:rPr>
            <w:noProof/>
            <w:webHidden/>
          </w:rPr>
          <w:t>24</w:t>
        </w:r>
        <w:r w:rsidR="00D14D2D">
          <w:rPr>
            <w:noProof/>
            <w:webHidden/>
          </w:rPr>
          <w:fldChar w:fldCharType="end"/>
        </w:r>
      </w:hyperlink>
    </w:p>
    <w:p w14:paraId="0F7B40D1" w14:textId="0DC48C82" w:rsidR="00D14D2D" w:rsidRDefault="00000000">
      <w:pPr>
        <w:pStyle w:val="TOC2"/>
        <w:tabs>
          <w:tab w:val="right" w:leader="dot" w:pos="9016"/>
        </w:tabs>
        <w:rPr>
          <w:rFonts w:eastAsiaTheme="minorEastAsia"/>
          <w:noProof/>
          <w:lang w:eastAsia="en-GB"/>
        </w:rPr>
      </w:pPr>
      <w:hyperlink w:anchor="_Toc128329949" w:history="1">
        <w:r w:rsidR="00D14D2D" w:rsidRPr="00531D9E">
          <w:rPr>
            <w:rStyle w:val="Hyperlink"/>
            <w:noProof/>
          </w:rPr>
          <w:t>Rationale</w:t>
        </w:r>
        <w:r w:rsidR="00D14D2D">
          <w:rPr>
            <w:noProof/>
            <w:webHidden/>
          </w:rPr>
          <w:tab/>
        </w:r>
        <w:r w:rsidR="00D14D2D">
          <w:rPr>
            <w:noProof/>
            <w:webHidden/>
          </w:rPr>
          <w:fldChar w:fldCharType="begin"/>
        </w:r>
        <w:r w:rsidR="00D14D2D">
          <w:rPr>
            <w:noProof/>
            <w:webHidden/>
          </w:rPr>
          <w:instrText xml:space="preserve"> PAGEREF _Toc128329949 \h </w:instrText>
        </w:r>
        <w:r w:rsidR="00D14D2D">
          <w:rPr>
            <w:noProof/>
            <w:webHidden/>
          </w:rPr>
        </w:r>
        <w:r w:rsidR="00D14D2D">
          <w:rPr>
            <w:noProof/>
            <w:webHidden/>
          </w:rPr>
          <w:fldChar w:fldCharType="separate"/>
        </w:r>
        <w:r w:rsidR="00D14D2D">
          <w:rPr>
            <w:noProof/>
            <w:webHidden/>
          </w:rPr>
          <w:t>25</w:t>
        </w:r>
        <w:r w:rsidR="00D14D2D">
          <w:rPr>
            <w:noProof/>
            <w:webHidden/>
          </w:rPr>
          <w:fldChar w:fldCharType="end"/>
        </w:r>
      </w:hyperlink>
    </w:p>
    <w:p w14:paraId="0672519E" w14:textId="481B367E" w:rsidR="00D14D2D" w:rsidRDefault="00000000">
      <w:pPr>
        <w:pStyle w:val="TOC3"/>
        <w:tabs>
          <w:tab w:val="right" w:leader="dot" w:pos="9016"/>
        </w:tabs>
        <w:rPr>
          <w:rFonts w:eastAsiaTheme="minorEastAsia"/>
          <w:noProof/>
          <w:lang w:eastAsia="en-GB"/>
        </w:rPr>
      </w:pPr>
      <w:hyperlink w:anchor="_Toc128329950" w:history="1">
        <w:r w:rsidR="00D14D2D" w:rsidRPr="00531D9E">
          <w:rPr>
            <w:rStyle w:val="Hyperlink"/>
            <w:noProof/>
          </w:rPr>
          <w:t>4.1 Introduction</w:t>
        </w:r>
        <w:r w:rsidR="00D14D2D">
          <w:rPr>
            <w:noProof/>
            <w:webHidden/>
          </w:rPr>
          <w:tab/>
        </w:r>
        <w:r w:rsidR="00D14D2D">
          <w:rPr>
            <w:noProof/>
            <w:webHidden/>
          </w:rPr>
          <w:fldChar w:fldCharType="begin"/>
        </w:r>
        <w:r w:rsidR="00D14D2D">
          <w:rPr>
            <w:noProof/>
            <w:webHidden/>
          </w:rPr>
          <w:instrText xml:space="preserve"> PAGEREF _Toc128329950 \h </w:instrText>
        </w:r>
        <w:r w:rsidR="00D14D2D">
          <w:rPr>
            <w:noProof/>
            <w:webHidden/>
          </w:rPr>
        </w:r>
        <w:r w:rsidR="00D14D2D">
          <w:rPr>
            <w:noProof/>
            <w:webHidden/>
          </w:rPr>
          <w:fldChar w:fldCharType="separate"/>
        </w:r>
        <w:r w:rsidR="00D14D2D">
          <w:rPr>
            <w:noProof/>
            <w:webHidden/>
          </w:rPr>
          <w:t>25</w:t>
        </w:r>
        <w:r w:rsidR="00D14D2D">
          <w:rPr>
            <w:noProof/>
            <w:webHidden/>
          </w:rPr>
          <w:fldChar w:fldCharType="end"/>
        </w:r>
      </w:hyperlink>
    </w:p>
    <w:p w14:paraId="6AB1DD02" w14:textId="31381C96" w:rsidR="00D14D2D" w:rsidRDefault="00000000">
      <w:pPr>
        <w:pStyle w:val="TOC3"/>
        <w:tabs>
          <w:tab w:val="right" w:leader="dot" w:pos="9016"/>
        </w:tabs>
        <w:rPr>
          <w:rFonts w:eastAsiaTheme="minorEastAsia"/>
          <w:noProof/>
          <w:lang w:eastAsia="en-GB"/>
        </w:rPr>
      </w:pPr>
      <w:hyperlink w:anchor="_Toc128329951" w:history="1">
        <w:r w:rsidR="00D14D2D" w:rsidRPr="00531D9E">
          <w:rPr>
            <w:rStyle w:val="Hyperlink"/>
            <w:noProof/>
          </w:rPr>
          <w:t>4.2 Psychosocial screening for patients with a failing kidney transplant</w:t>
        </w:r>
        <w:r w:rsidR="00D14D2D">
          <w:rPr>
            <w:noProof/>
            <w:webHidden/>
          </w:rPr>
          <w:tab/>
        </w:r>
        <w:r w:rsidR="00D14D2D">
          <w:rPr>
            <w:noProof/>
            <w:webHidden/>
          </w:rPr>
          <w:fldChar w:fldCharType="begin"/>
        </w:r>
        <w:r w:rsidR="00D14D2D">
          <w:rPr>
            <w:noProof/>
            <w:webHidden/>
          </w:rPr>
          <w:instrText xml:space="preserve"> PAGEREF _Toc128329951 \h </w:instrText>
        </w:r>
        <w:r w:rsidR="00D14D2D">
          <w:rPr>
            <w:noProof/>
            <w:webHidden/>
          </w:rPr>
        </w:r>
        <w:r w:rsidR="00D14D2D">
          <w:rPr>
            <w:noProof/>
            <w:webHidden/>
          </w:rPr>
          <w:fldChar w:fldCharType="separate"/>
        </w:r>
        <w:r w:rsidR="00D14D2D">
          <w:rPr>
            <w:noProof/>
            <w:webHidden/>
          </w:rPr>
          <w:t>25</w:t>
        </w:r>
        <w:r w:rsidR="00D14D2D">
          <w:rPr>
            <w:noProof/>
            <w:webHidden/>
          </w:rPr>
          <w:fldChar w:fldCharType="end"/>
        </w:r>
      </w:hyperlink>
    </w:p>
    <w:p w14:paraId="447881EC" w14:textId="6F4A9FC0" w:rsidR="00D14D2D" w:rsidRDefault="00000000">
      <w:pPr>
        <w:pStyle w:val="TOC4"/>
        <w:tabs>
          <w:tab w:val="left" w:pos="1540"/>
          <w:tab w:val="right" w:leader="dot" w:pos="9016"/>
        </w:tabs>
        <w:rPr>
          <w:rFonts w:eastAsiaTheme="minorEastAsia"/>
          <w:noProof/>
          <w:lang w:eastAsia="en-GB"/>
        </w:rPr>
      </w:pPr>
      <w:hyperlink w:anchor="_Toc128329952" w:history="1">
        <w:r w:rsidR="00D14D2D" w:rsidRPr="00531D9E">
          <w:rPr>
            <w:rStyle w:val="Hyperlink"/>
            <w:noProof/>
          </w:rPr>
          <w:t xml:space="preserve">4.2.1 </w:t>
        </w:r>
        <w:r w:rsidR="00D14D2D">
          <w:rPr>
            <w:rFonts w:eastAsiaTheme="minorEastAsia"/>
            <w:noProof/>
            <w:lang w:eastAsia="en-GB"/>
          </w:rPr>
          <w:tab/>
        </w:r>
        <w:r w:rsidR="00D14D2D" w:rsidRPr="00531D9E">
          <w:rPr>
            <w:rStyle w:val="Hyperlink"/>
            <w:noProof/>
          </w:rPr>
          <w:t>Purpose of screening</w:t>
        </w:r>
        <w:r w:rsidR="00D14D2D">
          <w:rPr>
            <w:noProof/>
            <w:webHidden/>
          </w:rPr>
          <w:tab/>
        </w:r>
        <w:r w:rsidR="00D14D2D">
          <w:rPr>
            <w:noProof/>
            <w:webHidden/>
          </w:rPr>
          <w:fldChar w:fldCharType="begin"/>
        </w:r>
        <w:r w:rsidR="00D14D2D">
          <w:rPr>
            <w:noProof/>
            <w:webHidden/>
          </w:rPr>
          <w:instrText xml:space="preserve"> PAGEREF _Toc128329952 \h </w:instrText>
        </w:r>
        <w:r w:rsidR="00D14D2D">
          <w:rPr>
            <w:noProof/>
            <w:webHidden/>
          </w:rPr>
        </w:r>
        <w:r w:rsidR="00D14D2D">
          <w:rPr>
            <w:noProof/>
            <w:webHidden/>
          </w:rPr>
          <w:fldChar w:fldCharType="separate"/>
        </w:r>
        <w:r w:rsidR="00D14D2D">
          <w:rPr>
            <w:noProof/>
            <w:webHidden/>
          </w:rPr>
          <w:t>25</w:t>
        </w:r>
        <w:r w:rsidR="00D14D2D">
          <w:rPr>
            <w:noProof/>
            <w:webHidden/>
          </w:rPr>
          <w:fldChar w:fldCharType="end"/>
        </w:r>
      </w:hyperlink>
    </w:p>
    <w:p w14:paraId="5E1D1FA9" w14:textId="7C3CC6F6" w:rsidR="00D14D2D" w:rsidRDefault="00000000">
      <w:pPr>
        <w:pStyle w:val="TOC4"/>
        <w:tabs>
          <w:tab w:val="left" w:pos="1540"/>
          <w:tab w:val="right" w:leader="dot" w:pos="9016"/>
        </w:tabs>
        <w:rPr>
          <w:rFonts w:eastAsiaTheme="minorEastAsia"/>
          <w:noProof/>
          <w:lang w:eastAsia="en-GB"/>
        </w:rPr>
      </w:pPr>
      <w:hyperlink w:anchor="_Toc128329953" w:history="1">
        <w:r w:rsidR="00D14D2D" w:rsidRPr="00531D9E">
          <w:rPr>
            <w:rStyle w:val="Hyperlink"/>
            <w:noProof/>
          </w:rPr>
          <w:t xml:space="preserve">4.2.2 </w:t>
        </w:r>
        <w:r w:rsidR="00D14D2D">
          <w:rPr>
            <w:rFonts w:eastAsiaTheme="minorEastAsia"/>
            <w:noProof/>
            <w:lang w:eastAsia="en-GB"/>
          </w:rPr>
          <w:tab/>
        </w:r>
        <w:r w:rsidR="00D14D2D" w:rsidRPr="00531D9E">
          <w:rPr>
            <w:rStyle w:val="Hyperlink"/>
            <w:noProof/>
          </w:rPr>
          <w:t>Timing of screening</w:t>
        </w:r>
        <w:r w:rsidR="00D14D2D">
          <w:rPr>
            <w:noProof/>
            <w:webHidden/>
          </w:rPr>
          <w:tab/>
        </w:r>
        <w:r w:rsidR="00D14D2D">
          <w:rPr>
            <w:noProof/>
            <w:webHidden/>
          </w:rPr>
          <w:fldChar w:fldCharType="begin"/>
        </w:r>
        <w:r w:rsidR="00D14D2D">
          <w:rPr>
            <w:noProof/>
            <w:webHidden/>
          </w:rPr>
          <w:instrText xml:space="preserve"> PAGEREF _Toc128329953 \h </w:instrText>
        </w:r>
        <w:r w:rsidR="00D14D2D">
          <w:rPr>
            <w:noProof/>
            <w:webHidden/>
          </w:rPr>
        </w:r>
        <w:r w:rsidR="00D14D2D">
          <w:rPr>
            <w:noProof/>
            <w:webHidden/>
          </w:rPr>
          <w:fldChar w:fldCharType="separate"/>
        </w:r>
        <w:r w:rsidR="00D14D2D">
          <w:rPr>
            <w:noProof/>
            <w:webHidden/>
          </w:rPr>
          <w:t>26</w:t>
        </w:r>
        <w:r w:rsidR="00D14D2D">
          <w:rPr>
            <w:noProof/>
            <w:webHidden/>
          </w:rPr>
          <w:fldChar w:fldCharType="end"/>
        </w:r>
      </w:hyperlink>
    </w:p>
    <w:p w14:paraId="1E5489F0" w14:textId="0592B8A0" w:rsidR="00D14D2D" w:rsidRDefault="00000000">
      <w:pPr>
        <w:pStyle w:val="TOC4"/>
        <w:tabs>
          <w:tab w:val="left" w:pos="1540"/>
          <w:tab w:val="right" w:leader="dot" w:pos="9016"/>
        </w:tabs>
        <w:rPr>
          <w:rFonts w:eastAsiaTheme="minorEastAsia"/>
          <w:noProof/>
          <w:lang w:eastAsia="en-GB"/>
        </w:rPr>
      </w:pPr>
      <w:hyperlink w:anchor="_Toc128329954" w:history="1">
        <w:r w:rsidR="00D14D2D" w:rsidRPr="00531D9E">
          <w:rPr>
            <w:rStyle w:val="Hyperlink"/>
            <w:noProof/>
          </w:rPr>
          <w:t xml:space="preserve">4.2.3 </w:t>
        </w:r>
        <w:r w:rsidR="00D14D2D">
          <w:rPr>
            <w:rFonts w:eastAsiaTheme="minorEastAsia"/>
            <w:noProof/>
            <w:lang w:eastAsia="en-GB"/>
          </w:rPr>
          <w:tab/>
        </w:r>
        <w:r w:rsidR="00D14D2D" w:rsidRPr="00531D9E">
          <w:rPr>
            <w:rStyle w:val="Hyperlink"/>
            <w:noProof/>
          </w:rPr>
          <w:t>Types of screening</w:t>
        </w:r>
        <w:r w:rsidR="00D14D2D">
          <w:rPr>
            <w:noProof/>
            <w:webHidden/>
          </w:rPr>
          <w:tab/>
        </w:r>
        <w:r w:rsidR="00D14D2D">
          <w:rPr>
            <w:noProof/>
            <w:webHidden/>
          </w:rPr>
          <w:fldChar w:fldCharType="begin"/>
        </w:r>
        <w:r w:rsidR="00D14D2D">
          <w:rPr>
            <w:noProof/>
            <w:webHidden/>
          </w:rPr>
          <w:instrText xml:space="preserve"> PAGEREF _Toc128329954 \h </w:instrText>
        </w:r>
        <w:r w:rsidR="00D14D2D">
          <w:rPr>
            <w:noProof/>
            <w:webHidden/>
          </w:rPr>
        </w:r>
        <w:r w:rsidR="00D14D2D">
          <w:rPr>
            <w:noProof/>
            <w:webHidden/>
          </w:rPr>
          <w:fldChar w:fldCharType="separate"/>
        </w:r>
        <w:r w:rsidR="00D14D2D">
          <w:rPr>
            <w:noProof/>
            <w:webHidden/>
          </w:rPr>
          <w:t>26</w:t>
        </w:r>
        <w:r w:rsidR="00D14D2D">
          <w:rPr>
            <w:noProof/>
            <w:webHidden/>
          </w:rPr>
          <w:fldChar w:fldCharType="end"/>
        </w:r>
      </w:hyperlink>
    </w:p>
    <w:p w14:paraId="2C3C731D" w14:textId="0F2C3505" w:rsidR="00D14D2D" w:rsidRDefault="00000000">
      <w:pPr>
        <w:pStyle w:val="TOC4"/>
        <w:tabs>
          <w:tab w:val="left" w:pos="1540"/>
          <w:tab w:val="right" w:leader="dot" w:pos="9016"/>
        </w:tabs>
        <w:rPr>
          <w:rFonts w:eastAsiaTheme="minorEastAsia"/>
          <w:noProof/>
          <w:lang w:eastAsia="en-GB"/>
        </w:rPr>
      </w:pPr>
      <w:hyperlink w:anchor="_Toc128329955" w:history="1">
        <w:r w:rsidR="00D14D2D" w:rsidRPr="00531D9E">
          <w:rPr>
            <w:rStyle w:val="Hyperlink"/>
            <w:noProof/>
          </w:rPr>
          <w:t xml:space="preserve">4.2.4 </w:t>
        </w:r>
        <w:r w:rsidR="00D14D2D">
          <w:rPr>
            <w:rFonts w:eastAsiaTheme="minorEastAsia"/>
            <w:noProof/>
            <w:lang w:eastAsia="en-GB"/>
          </w:rPr>
          <w:tab/>
        </w:r>
        <w:r w:rsidR="00D14D2D" w:rsidRPr="00531D9E">
          <w:rPr>
            <w:rStyle w:val="Hyperlink"/>
            <w:noProof/>
          </w:rPr>
          <w:t>Outcomes for screening results</w:t>
        </w:r>
        <w:r w:rsidR="00D14D2D">
          <w:rPr>
            <w:noProof/>
            <w:webHidden/>
          </w:rPr>
          <w:tab/>
        </w:r>
        <w:r w:rsidR="00D14D2D">
          <w:rPr>
            <w:noProof/>
            <w:webHidden/>
          </w:rPr>
          <w:fldChar w:fldCharType="begin"/>
        </w:r>
        <w:r w:rsidR="00D14D2D">
          <w:rPr>
            <w:noProof/>
            <w:webHidden/>
          </w:rPr>
          <w:instrText xml:space="preserve"> PAGEREF _Toc128329955 \h </w:instrText>
        </w:r>
        <w:r w:rsidR="00D14D2D">
          <w:rPr>
            <w:noProof/>
            <w:webHidden/>
          </w:rPr>
        </w:r>
        <w:r w:rsidR="00D14D2D">
          <w:rPr>
            <w:noProof/>
            <w:webHidden/>
          </w:rPr>
          <w:fldChar w:fldCharType="separate"/>
        </w:r>
        <w:r w:rsidR="00D14D2D">
          <w:rPr>
            <w:noProof/>
            <w:webHidden/>
          </w:rPr>
          <w:t>26</w:t>
        </w:r>
        <w:r w:rsidR="00D14D2D">
          <w:rPr>
            <w:noProof/>
            <w:webHidden/>
          </w:rPr>
          <w:fldChar w:fldCharType="end"/>
        </w:r>
      </w:hyperlink>
    </w:p>
    <w:p w14:paraId="2618D87C" w14:textId="34C41ED0" w:rsidR="00D14D2D" w:rsidRDefault="00000000">
      <w:pPr>
        <w:pStyle w:val="TOC3"/>
        <w:tabs>
          <w:tab w:val="right" w:leader="dot" w:pos="9016"/>
        </w:tabs>
        <w:rPr>
          <w:rFonts w:eastAsiaTheme="minorEastAsia"/>
          <w:noProof/>
          <w:lang w:eastAsia="en-GB"/>
        </w:rPr>
      </w:pPr>
      <w:hyperlink w:anchor="_Toc128329956" w:history="1">
        <w:r w:rsidR="00D14D2D" w:rsidRPr="00531D9E">
          <w:rPr>
            <w:rStyle w:val="Hyperlink"/>
            <w:noProof/>
          </w:rPr>
          <w:t>4.3 Tiered Care Model of Professional Psychosocial Assessment and Intervention</w:t>
        </w:r>
        <w:r w:rsidR="00D14D2D">
          <w:rPr>
            <w:noProof/>
            <w:webHidden/>
          </w:rPr>
          <w:tab/>
        </w:r>
        <w:r w:rsidR="00D14D2D">
          <w:rPr>
            <w:noProof/>
            <w:webHidden/>
          </w:rPr>
          <w:fldChar w:fldCharType="begin"/>
        </w:r>
        <w:r w:rsidR="00D14D2D">
          <w:rPr>
            <w:noProof/>
            <w:webHidden/>
          </w:rPr>
          <w:instrText xml:space="preserve"> PAGEREF _Toc128329956 \h </w:instrText>
        </w:r>
        <w:r w:rsidR="00D14D2D">
          <w:rPr>
            <w:noProof/>
            <w:webHidden/>
          </w:rPr>
        </w:r>
        <w:r w:rsidR="00D14D2D">
          <w:rPr>
            <w:noProof/>
            <w:webHidden/>
          </w:rPr>
          <w:fldChar w:fldCharType="separate"/>
        </w:r>
        <w:r w:rsidR="00D14D2D">
          <w:rPr>
            <w:noProof/>
            <w:webHidden/>
          </w:rPr>
          <w:t>27</w:t>
        </w:r>
        <w:r w:rsidR="00D14D2D">
          <w:rPr>
            <w:noProof/>
            <w:webHidden/>
          </w:rPr>
          <w:fldChar w:fldCharType="end"/>
        </w:r>
      </w:hyperlink>
    </w:p>
    <w:p w14:paraId="2235C253" w14:textId="5D2FBAEC" w:rsidR="00D14D2D" w:rsidRDefault="00000000">
      <w:pPr>
        <w:pStyle w:val="TOC4"/>
        <w:tabs>
          <w:tab w:val="left" w:pos="1540"/>
          <w:tab w:val="right" w:leader="dot" w:pos="9016"/>
        </w:tabs>
        <w:rPr>
          <w:rFonts w:eastAsiaTheme="minorEastAsia"/>
          <w:noProof/>
          <w:lang w:eastAsia="en-GB"/>
        </w:rPr>
      </w:pPr>
      <w:hyperlink w:anchor="_Toc128329957" w:history="1">
        <w:r w:rsidR="00D14D2D" w:rsidRPr="00531D9E">
          <w:rPr>
            <w:rStyle w:val="Hyperlink"/>
            <w:noProof/>
          </w:rPr>
          <w:t xml:space="preserve">4.3.1 </w:t>
        </w:r>
        <w:r w:rsidR="00D14D2D">
          <w:rPr>
            <w:rFonts w:eastAsiaTheme="minorEastAsia"/>
            <w:noProof/>
            <w:lang w:eastAsia="en-GB"/>
          </w:rPr>
          <w:tab/>
        </w:r>
        <w:r w:rsidR="00D14D2D" w:rsidRPr="00531D9E">
          <w:rPr>
            <w:rStyle w:val="Hyperlink"/>
            <w:noProof/>
          </w:rPr>
          <w:t>Purpose of tiered care</w:t>
        </w:r>
        <w:r w:rsidR="00D14D2D">
          <w:rPr>
            <w:noProof/>
            <w:webHidden/>
          </w:rPr>
          <w:tab/>
        </w:r>
        <w:r w:rsidR="00D14D2D">
          <w:rPr>
            <w:noProof/>
            <w:webHidden/>
          </w:rPr>
          <w:fldChar w:fldCharType="begin"/>
        </w:r>
        <w:r w:rsidR="00D14D2D">
          <w:rPr>
            <w:noProof/>
            <w:webHidden/>
          </w:rPr>
          <w:instrText xml:space="preserve"> PAGEREF _Toc128329957 \h </w:instrText>
        </w:r>
        <w:r w:rsidR="00D14D2D">
          <w:rPr>
            <w:noProof/>
            <w:webHidden/>
          </w:rPr>
        </w:r>
        <w:r w:rsidR="00D14D2D">
          <w:rPr>
            <w:noProof/>
            <w:webHidden/>
          </w:rPr>
          <w:fldChar w:fldCharType="separate"/>
        </w:r>
        <w:r w:rsidR="00D14D2D">
          <w:rPr>
            <w:noProof/>
            <w:webHidden/>
          </w:rPr>
          <w:t>27</w:t>
        </w:r>
        <w:r w:rsidR="00D14D2D">
          <w:rPr>
            <w:noProof/>
            <w:webHidden/>
          </w:rPr>
          <w:fldChar w:fldCharType="end"/>
        </w:r>
      </w:hyperlink>
    </w:p>
    <w:p w14:paraId="036CA340" w14:textId="4CEE1F32" w:rsidR="00D14D2D" w:rsidRDefault="00000000">
      <w:pPr>
        <w:pStyle w:val="TOC4"/>
        <w:tabs>
          <w:tab w:val="left" w:pos="1540"/>
          <w:tab w:val="right" w:leader="dot" w:pos="9016"/>
        </w:tabs>
        <w:rPr>
          <w:rFonts w:eastAsiaTheme="minorEastAsia"/>
          <w:noProof/>
          <w:lang w:eastAsia="en-GB"/>
        </w:rPr>
      </w:pPr>
      <w:hyperlink w:anchor="_Toc128329958" w:history="1">
        <w:r w:rsidR="00D14D2D" w:rsidRPr="00531D9E">
          <w:rPr>
            <w:rStyle w:val="Hyperlink"/>
            <w:noProof/>
          </w:rPr>
          <w:t xml:space="preserve">4.3.2 </w:t>
        </w:r>
        <w:r w:rsidR="00D14D2D">
          <w:rPr>
            <w:rFonts w:eastAsiaTheme="minorEastAsia"/>
            <w:noProof/>
            <w:lang w:eastAsia="en-GB"/>
          </w:rPr>
          <w:tab/>
        </w:r>
        <w:r w:rsidR="00D14D2D" w:rsidRPr="00531D9E">
          <w:rPr>
            <w:rStyle w:val="Hyperlink"/>
            <w:noProof/>
          </w:rPr>
          <w:t>Timing of tiered care</w:t>
        </w:r>
        <w:r w:rsidR="00D14D2D">
          <w:rPr>
            <w:noProof/>
            <w:webHidden/>
          </w:rPr>
          <w:tab/>
        </w:r>
        <w:r w:rsidR="00D14D2D">
          <w:rPr>
            <w:noProof/>
            <w:webHidden/>
          </w:rPr>
          <w:fldChar w:fldCharType="begin"/>
        </w:r>
        <w:r w:rsidR="00D14D2D">
          <w:rPr>
            <w:noProof/>
            <w:webHidden/>
          </w:rPr>
          <w:instrText xml:space="preserve"> PAGEREF _Toc128329958 \h </w:instrText>
        </w:r>
        <w:r w:rsidR="00D14D2D">
          <w:rPr>
            <w:noProof/>
            <w:webHidden/>
          </w:rPr>
        </w:r>
        <w:r w:rsidR="00D14D2D">
          <w:rPr>
            <w:noProof/>
            <w:webHidden/>
          </w:rPr>
          <w:fldChar w:fldCharType="separate"/>
        </w:r>
        <w:r w:rsidR="00D14D2D">
          <w:rPr>
            <w:noProof/>
            <w:webHidden/>
          </w:rPr>
          <w:t>27</w:t>
        </w:r>
        <w:r w:rsidR="00D14D2D">
          <w:rPr>
            <w:noProof/>
            <w:webHidden/>
          </w:rPr>
          <w:fldChar w:fldCharType="end"/>
        </w:r>
      </w:hyperlink>
    </w:p>
    <w:p w14:paraId="79BF9175" w14:textId="55BC6B10" w:rsidR="00D14D2D" w:rsidRDefault="00000000">
      <w:pPr>
        <w:pStyle w:val="TOC4"/>
        <w:tabs>
          <w:tab w:val="left" w:pos="1540"/>
          <w:tab w:val="right" w:leader="dot" w:pos="9016"/>
        </w:tabs>
        <w:rPr>
          <w:rFonts w:eastAsiaTheme="minorEastAsia"/>
          <w:noProof/>
          <w:lang w:eastAsia="en-GB"/>
        </w:rPr>
      </w:pPr>
      <w:hyperlink w:anchor="_Toc128329959" w:history="1">
        <w:r w:rsidR="00D14D2D" w:rsidRPr="00531D9E">
          <w:rPr>
            <w:rStyle w:val="Hyperlink"/>
            <w:rFonts w:cs="Calibri"/>
            <w:noProof/>
          </w:rPr>
          <w:t>.</w:t>
        </w:r>
        <w:r w:rsidR="00D14D2D" w:rsidRPr="00531D9E">
          <w:rPr>
            <w:rStyle w:val="Hyperlink"/>
            <w:noProof/>
          </w:rPr>
          <w:t xml:space="preserve">4.3.3 </w:t>
        </w:r>
        <w:r w:rsidR="00D14D2D">
          <w:rPr>
            <w:rFonts w:eastAsiaTheme="minorEastAsia"/>
            <w:noProof/>
            <w:lang w:eastAsia="en-GB"/>
          </w:rPr>
          <w:tab/>
        </w:r>
        <w:r w:rsidR="00D14D2D" w:rsidRPr="00531D9E">
          <w:rPr>
            <w:rStyle w:val="Hyperlink"/>
            <w:noProof/>
          </w:rPr>
          <w:t>Type of tiered care</w:t>
        </w:r>
        <w:r w:rsidR="00D14D2D">
          <w:rPr>
            <w:noProof/>
            <w:webHidden/>
          </w:rPr>
          <w:tab/>
        </w:r>
        <w:r w:rsidR="00D14D2D">
          <w:rPr>
            <w:noProof/>
            <w:webHidden/>
          </w:rPr>
          <w:fldChar w:fldCharType="begin"/>
        </w:r>
        <w:r w:rsidR="00D14D2D">
          <w:rPr>
            <w:noProof/>
            <w:webHidden/>
          </w:rPr>
          <w:instrText xml:space="preserve"> PAGEREF _Toc128329959 \h </w:instrText>
        </w:r>
        <w:r w:rsidR="00D14D2D">
          <w:rPr>
            <w:noProof/>
            <w:webHidden/>
          </w:rPr>
        </w:r>
        <w:r w:rsidR="00D14D2D">
          <w:rPr>
            <w:noProof/>
            <w:webHidden/>
          </w:rPr>
          <w:fldChar w:fldCharType="separate"/>
        </w:r>
        <w:r w:rsidR="00D14D2D">
          <w:rPr>
            <w:noProof/>
            <w:webHidden/>
          </w:rPr>
          <w:t>27</w:t>
        </w:r>
        <w:r w:rsidR="00D14D2D">
          <w:rPr>
            <w:noProof/>
            <w:webHidden/>
          </w:rPr>
          <w:fldChar w:fldCharType="end"/>
        </w:r>
      </w:hyperlink>
    </w:p>
    <w:p w14:paraId="453C3315" w14:textId="3696B6FA" w:rsidR="00D14D2D" w:rsidRDefault="00000000">
      <w:pPr>
        <w:pStyle w:val="TOC3"/>
        <w:tabs>
          <w:tab w:val="left" w:pos="1100"/>
          <w:tab w:val="right" w:leader="dot" w:pos="9016"/>
        </w:tabs>
        <w:rPr>
          <w:rFonts w:eastAsiaTheme="minorEastAsia"/>
          <w:noProof/>
          <w:lang w:eastAsia="en-GB"/>
        </w:rPr>
      </w:pPr>
      <w:hyperlink w:anchor="_Toc128329960" w:history="1">
        <w:r w:rsidR="00D14D2D" w:rsidRPr="00531D9E">
          <w:rPr>
            <w:rStyle w:val="Hyperlink"/>
            <w:noProof/>
          </w:rPr>
          <w:t>4.4</w:t>
        </w:r>
        <w:r w:rsidR="00D14D2D">
          <w:rPr>
            <w:rFonts w:eastAsiaTheme="minorEastAsia"/>
            <w:noProof/>
            <w:lang w:eastAsia="en-GB"/>
          </w:rPr>
          <w:tab/>
        </w:r>
        <w:r w:rsidR="00D14D2D" w:rsidRPr="00531D9E">
          <w:rPr>
            <w:rStyle w:val="Hyperlink"/>
            <w:noProof/>
          </w:rPr>
          <w:t>Patient populations required additional psychosocial consideration</w:t>
        </w:r>
        <w:r w:rsidR="00D14D2D">
          <w:rPr>
            <w:noProof/>
            <w:webHidden/>
          </w:rPr>
          <w:tab/>
        </w:r>
        <w:r w:rsidR="00D14D2D">
          <w:rPr>
            <w:noProof/>
            <w:webHidden/>
          </w:rPr>
          <w:fldChar w:fldCharType="begin"/>
        </w:r>
        <w:r w:rsidR="00D14D2D">
          <w:rPr>
            <w:noProof/>
            <w:webHidden/>
          </w:rPr>
          <w:instrText xml:space="preserve"> PAGEREF _Toc128329960 \h </w:instrText>
        </w:r>
        <w:r w:rsidR="00D14D2D">
          <w:rPr>
            <w:noProof/>
            <w:webHidden/>
          </w:rPr>
        </w:r>
        <w:r w:rsidR="00D14D2D">
          <w:rPr>
            <w:noProof/>
            <w:webHidden/>
          </w:rPr>
          <w:fldChar w:fldCharType="separate"/>
        </w:r>
        <w:r w:rsidR="00D14D2D">
          <w:rPr>
            <w:noProof/>
            <w:webHidden/>
          </w:rPr>
          <w:t>28</w:t>
        </w:r>
        <w:r w:rsidR="00D14D2D">
          <w:rPr>
            <w:noProof/>
            <w:webHidden/>
          </w:rPr>
          <w:fldChar w:fldCharType="end"/>
        </w:r>
      </w:hyperlink>
    </w:p>
    <w:p w14:paraId="318096F4" w14:textId="2FE7E571" w:rsidR="00D14D2D" w:rsidRDefault="00000000">
      <w:pPr>
        <w:pStyle w:val="TOC4"/>
        <w:tabs>
          <w:tab w:val="left" w:pos="1540"/>
          <w:tab w:val="right" w:leader="dot" w:pos="9016"/>
        </w:tabs>
        <w:rPr>
          <w:rFonts w:eastAsiaTheme="minorEastAsia"/>
          <w:noProof/>
          <w:lang w:eastAsia="en-GB"/>
        </w:rPr>
      </w:pPr>
      <w:hyperlink w:anchor="_Toc128329961" w:history="1">
        <w:r w:rsidR="00D14D2D" w:rsidRPr="00531D9E">
          <w:rPr>
            <w:rStyle w:val="Hyperlink"/>
            <w:noProof/>
          </w:rPr>
          <w:t xml:space="preserve">4.4.1 </w:t>
        </w:r>
        <w:r w:rsidR="00D14D2D">
          <w:rPr>
            <w:rFonts w:eastAsiaTheme="minorEastAsia"/>
            <w:noProof/>
            <w:lang w:eastAsia="en-GB"/>
          </w:rPr>
          <w:tab/>
        </w:r>
        <w:r w:rsidR="00D14D2D" w:rsidRPr="00531D9E">
          <w:rPr>
            <w:rStyle w:val="Hyperlink"/>
            <w:noProof/>
          </w:rPr>
          <w:t>Young adults</w:t>
        </w:r>
        <w:r w:rsidR="00D14D2D">
          <w:rPr>
            <w:noProof/>
            <w:webHidden/>
          </w:rPr>
          <w:tab/>
        </w:r>
        <w:r w:rsidR="00D14D2D">
          <w:rPr>
            <w:noProof/>
            <w:webHidden/>
          </w:rPr>
          <w:fldChar w:fldCharType="begin"/>
        </w:r>
        <w:r w:rsidR="00D14D2D">
          <w:rPr>
            <w:noProof/>
            <w:webHidden/>
          </w:rPr>
          <w:instrText xml:space="preserve"> PAGEREF _Toc128329961 \h </w:instrText>
        </w:r>
        <w:r w:rsidR="00D14D2D">
          <w:rPr>
            <w:noProof/>
            <w:webHidden/>
          </w:rPr>
        </w:r>
        <w:r w:rsidR="00D14D2D">
          <w:rPr>
            <w:noProof/>
            <w:webHidden/>
          </w:rPr>
          <w:fldChar w:fldCharType="separate"/>
        </w:r>
        <w:r w:rsidR="00D14D2D">
          <w:rPr>
            <w:noProof/>
            <w:webHidden/>
          </w:rPr>
          <w:t>28</w:t>
        </w:r>
        <w:r w:rsidR="00D14D2D">
          <w:rPr>
            <w:noProof/>
            <w:webHidden/>
          </w:rPr>
          <w:fldChar w:fldCharType="end"/>
        </w:r>
      </w:hyperlink>
    </w:p>
    <w:p w14:paraId="2D2BDED1" w14:textId="4D706C49" w:rsidR="00D14D2D" w:rsidRDefault="00000000">
      <w:pPr>
        <w:pStyle w:val="TOC5"/>
        <w:tabs>
          <w:tab w:val="left" w:pos="1762"/>
          <w:tab w:val="right" w:leader="dot" w:pos="9016"/>
        </w:tabs>
        <w:rPr>
          <w:rFonts w:eastAsiaTheme="minorEastAsia"/>
          <w:noProof/>
          <w:lang w:eastAsia="en-GB"/>
        </w:rPr>
      </w:pPr>
      <w:hyperlink w:anchor="_Toc128329962" w:history="1">
        <w:r w:rsidR="00D14D2D" w:rsidRPr="00531D9E">
          <w:rPr>
            <w:rStyle w:val="Hyperlink"/>
            <w:noProof/>
          </w:rPr>
          <w:t xml:space="preserve">4.4.1.1 </w:t>
        </w:r>
        <w:r w:rsidR="00D14D2D">
          <w:rPr>
            <w:rFonts w:eastAsiaTheme="minorEastAsia"/>
            <w:noProof/>
            <w:lang w:eastAsia="en-GB"/>
          </w:rPr>
          <w:tab/>
        </w:r>
        <w:r w:rsidR="00D14D2D" w:rsidRPr="00531D9E">
          <w:rPr>
            <w:rStyle w:val="Hyperlink"/>
            <w:noProof/>
          </w:rPr>
          <w:t xml:space="preserve"> Purpose of additional young adult psychosocial screening and intervention</w:t>
        </w:r>
        <w:r w:rsidR="00D14D2D">
          <w:rPr>
            <w:noProof/>
            <w:webHidden/>
          </w:rPr>
          <w:tab/>
        </w:r>
        <w:r w:rsidR="00D14D2D">
          <w:rPr>
            <w:noProof/>
            <w:webHidden/>
          </w:rPr>
          <w:fldChar w:fldCharType="begin"/>
        </w:r>
        <w:r w:rsidR="00D14D2D">
          <w:rPr>
            <w:noProof/>
            <w:webHidden/>
          </w:rPr>
          <w:instrText xml:space="preserve"> PAGEREF _Toc128329962 \h </w:instrText>
        </w:r>
        <w:r w:rsidR="00D14D2D">
          <w:rPr>
            <w:noProof/>
            <w:webHidden/>
          </w:rPr>
        </w:r>
        <w:r w:rsidR="00D14D2D">
          <w:rPr>
            <w:noProof/>
            <w:webHidden/>
          </w:rPr>
          <w:fldChar w:fldCharType="separate"/>
        </w:r>
        <w:r w:rsidR="00D14D2D">
          <w:rPr>
            <w:noProof/>
            <w:webHidden/>
          </w:rPr>
          <w:t>29</w:t>
        </w:r>
        <w:r w:rsidR="00D14D2D">
          <w:rPr>
            <w:noProof/>
            <w:webHidden/>
          </w:rPr>
          <w:fldChar w:fldCharType="end"/>
        </w:r>
      </w:hyperlink>
    </w:p>
    <w:p w14:paraId="070FB90B" w14:textId="348B169B" w:rsidR="00D14D2D" w:rsidRDefault="00000000">
      <w:pPr>
        <w:pStyle w:val="TOC5"/>
        <w:tabs>
          <w:tab w:val="left" w:pos="1762"/>
          <w:tab w:val="right" w:leader="dot" w:pos="9016"/>
        </w:tabs>
        <w:rPr>
          <w:rFonts w:eastAsiaTheme="minorEastAsia"/>
          <w:noProof/>
          <w:lang w:eastAsia="en-GB"/>
        </w:rPr>
      </w:pPr>
      <w:hyperlink w:anchor="_Toc128329963" w:history="1">
        <w:r w:rsidR="00D14D2D" w:rsidRPr="00531D9E">
          <w:rPr>
            <w:rStyle w:val="Hyperlink"/>
            <w:noProof/>
          </w:rPr>
          <w:t xml:space="preserve">4.4.1.2 </w:t>
        </w:r>
        <w:r w:rsidR="00D14D2D">
          <w:rPr>
            <w:rFonts w:eastAsiaTheme="minorEastAsia"/>
            <w:noProof/>
            <w:lang w:eastAsia="en-GB"/>
          </w:rPr>
          <w:tab/>
        </w:r>
        <w:r w:rsidR="00D14D2D" w:rsidRPr="00531D9E">
          <w:rPr>
            <w:rStyle w:val="Hyperlink"/>
            <w:noProof/>
          </w:rPr>
          <w:t xml:space="preserve"> Timing of additional young adult psychosocial screening and intervention</w:t>
        </w:r>
        <w:r w:rsidR="00D14D2D">
          <w:rPr>
            <w:noProof/>
            <w:webHidden/>
          </w:rPr>
          <w:tab/>
        </w:r>
        <w:r w:rsidR="00D14D2D">
          <w:rPr>
            <w:noProof/>
            <w:webHidden/>
          </w:rPr>
          <w:fldChar w:fldCharType="begin"/>
        </w:r>
        <w:r w:rsidR="00D14D2D">
          <w:rPr>
            <w:noProof/>
            <w:webHidden/>
          </w:rPr>
          <w:instrText xml:space="preserve"> PAGEREF _Toc128329963 \h </w:instrText>
        </w:r>
        <w:r w:rsidR="00D14D2D">
          <w:rPr>
            <w:noProof/>
            <w:webHidden/>
          </w:rPr>
        </w:r>
        <w:r w:rsidR="00D14D2D">
          <w:rPr>
            <w:noProof/>
            <w:webHidden/>
          </w:rPr>
          <w:fldChar w:fldCharType="separate"/>
        </w:r>
        <w:r w:rsidR="00D14D2D">
          <w:rPr>
            <w:noProof/>
            <w:webHidden/>
          </w:rPr>
          <w:t>29</w:t>
        </w:r>
        <w:r w:rsidR="00D14D2D">
          <w:rPr>
            <w:noProof/>
            <w:webHidden/>
          </w:rPr>
          <w:fldChar w:fldCharType="end"/>
        </w:r>
      </w:hyperlink>
    </w:p>
    <w:p w14:paraId="013A888F" w14:textId="2B5B5299" w:rsidR="00D14D2D" w:rsidRDefault="00000000">
      <w:pPr>
        <w:pStyle w:val="TOC5"/>
        <w:tabs>
          <w:tab w:val="left" w:pos="1762"/>
          <w:tab w:val="right" w:leader="dot" w:pos="9016"/>
        </w:tabs>
        <w:rPr>
          <w:rFonts w:eastAsiaTheme="minorEastAsia"/>
          <w:noProof/>
          <w:lang w:eastAsia="en-GB"/>
        </w:rPr>
      </w:pPr>
      <w:hyperlink w:anchor="_Toc128329964" w:history="1">
        <w:r w:rsidR="00D14D2D" w:rsidRPr="00531D9E">
          <w:rPr>
            <w:rStyle w:val="Hyperlink"/>
            <w:noProof/>
          </w:rPr>
          <w:t xml:space="preserve">4.4.1.3 </w:t>
        </w:r>
        <w:r w:rsidR="00D14D2D">
          <w:rPr>
            <w:rFonts w:eastAsiaTheme="minorEastAsia"/>
            <w:noProof/>
            <w:lang w:eastAsia="en-GB"/>
          </w:rPr>
          <w:tab/>
        </w:r>
        <w:r w:rsidR="00D14D2D" w:rsidRPr="00531D9E">
          <w:rPr>
            <w:rStyle w:val="Hyperlink"/>
            <w:noProof/>
          </w:rPr>
          <w:t xml:space="preserve"> Types of additional psychosocial screening and intervention</w:t>
        </w:r>
        <w:r w:rsidR="00D14D2D">
          <w:rPr>
            <w:noProof/>
            <w:webHidden/>
          </w:rPr>
          <w:tab/>
        </w:r>
        <w:r w:rsidR="00D14D2D">
          <w:rPr>
            <w:noProof/>
            <w:webHidden/>
          </w:rPr>
          <w:fldChar w:fldCharType="begin"/>
        </w:r>
        <w:r w:rsidR="00D14D2D">
          <w:rPr>
            <w:noProof/>
            <w:webHidden/>
          </w:rPr>
          <w:instrText xml:space="preserve"> PAGEREF _Toc128329964 \h </w:instrText>
        </w:r>
        <w:r w:rsidR="00D14D2D">
          <w:rPr>
            <w:noProof/>
            <w:webHidden/>
          </w:rPr>
        </w:r>
        <w:r w:rsidR="00D14D2D">
          <w:rPr>
            <w:noProof/>
            <w:webHidden/>
          </w:rPr>
          <w:fldChar w:fldCharType="separate"/>
        </w:r>
        <w:r w:rsidR="00D14D2D">
          <w:rPr>
            <w:noProof/>
            <w:webHidden/>
          </w:rPr>
          <w:t>29</w:t>
        </w:r>
        <w:r w:rsidR="00D14D2D">
          <w:rPr>
            <w:noProof/>
            <w:webHidden/>
          </w:rPr>
          <w:fldChar w:fldCharType="end"/>
        </w:r>
      </w:hyperlink>
    </w:p>
    <w:p w14:paraId="3D9573D9" w14:textId="7B1C7910" w:rsidR="00D14D2D" w:rsidRDefault="00000000">
      <w:pPr>
        <w:pStyle w:val="TOC4"/>
        <w:tabs>
          <w:tab w:val="left" w:pos="1540"/>
          <w:tab w:val="right" w:leader="dot" w:pos="9016"/>
        </w:tabs>
        <w:rPr>
          <w:rFonts w:eastAsiaTheme="minorEastAsia"/>
          <w:noProof/>
          <w:lang w:eastAsia="en-GB"/>
        </w:rPr>
      </w:pPr>
      <w:hyperlink w:anchor="_Toc128329965" w:history="1">
        <w:r w:rsidR="00D14D2D" w:rsidRPr="00531D9E">
          <w:rPr>
            <w:rStyle w:val="Hyperlink"/>
            <w:noProof/>
          </w:rPr>
          <w:t xml:space="preserve">4.4.2 </w:t>
        </w:r>
        <w:r w:rsidR="00D14D2D">
          <w:rPr>
            <w:rFonts w:eastAsiaTheme="minorEastAsia"/>
            <w:noProof/>
            <w:lang w:eastAsia="en-GB"/>
          </w:rPr>
          <w:tab/>
        </w:r>
        <w:r w:rsidR="00D14D2D" w:rsidRPr="00531D9E">
          <w:rPr>
            <w:rStyle w:val="Hyperlink"/>
            <w:noProof/>
          </w:rPr>
          <w:t>Patients identified for supportive and palliative care</w:t>
        </w:r>
        <w:r w:rsidR="00D14D2D">
          <w:rPr>
            <w:noProof/>
            <w:webHidden/>
          </w:rPr>
          <w:tab/>
        </w:r>
        <w:r w:rsidR="00D14D2D">
          <w:rPr>
            <w:noProof/>
            <w:webHidden/>
          </w:rPr>
          <w:fldChar w:fldCharType="begin"/>
        </w:r>
        <w:r w:rsidR="00D14D2D">
          <w:rPr>
            <w:noProof/>
            <w:webHidden/>
          </w:rPr>
          <w:instrText xml:space="preserve"> PAGEREF _Toc128329965 \h </w:instrText>
        </w:r>
        <w:r w:rsidR="00D14D2D">
          <w:rPr>
            <w:noProof/>
            <w:webHidden/>
          </w:rPr>
        </w:r>
        <w:r w:rsidR="00D14D2D">
          <w:rPr>
            <w:noProof/>
            <w:webHidden/>
          </w:rPr>
          <w:fldChar w:fldCharType="separate"/>
        </w:r>
        <w:r w:rsidR="00D14D2D">
          <w:rPr>
            <w:noProof/>
            <w:webHidden/>
          </w:rPr>
          <w:t>29</w:t>
        </w:r>
        <w:r w:rsidR="00D14D2D">
          <w:rPr>
            <w:noProof/>
            <w:webHidden/>
          </w:rPr>
          <w:fldChar w:fldCharType="end"/>
        </w:r>
      </w:hyperlink>
    </w:p>
    <w:p w14:paraId="298A1185" w14:textId="24DAFDBE" w:rsidR="00D14D2D" w:rsidRDefault="00000000">
      <w:pPr>
        <w:pStyle w:val="TOC5"/>
        <w:tabs>
          <w:tab w:val="left" w:pos="1762"/>
          <w:tab w:val="right" w:leader="dot" w:pos="9016"/>
        </w:tabs>
        <w:rPr>
          <w:rFonts w:eastAsiaTheme="minorEastAsia"/>
          <w:noProof/>
          <w:lang w:eastAsia="en-GB"/>
        </w:rPr>
      </w:pPr>
      <w:hyperlink w:anchor="_Toc128329966" w:history="1">
        <w:r w:rsidR="00D14D2D" w:rsidRPr="00531D9E">
          <w:rPr>
            <w:rStyle w:val="Hyperlink"/>
            <w:noProof/>
          </w:rPr>
          <w:t xml:space="preserve">4.4.2.1 </w:t>
        </w:r>
        <w:r w:rsidR="00D14D2D">
          <w:rPr>
            <w:rFonts w:eastAsiaTheme="minorEastAsia"/>
            <w:noProof/>
            <w:lang w:eastAsia="en-GB"/>
          </w:rPr>
          <w:tab/>
        </w:r>
        <w:r w:rsidR="00D14D2D" w:rsidRPr="00531D9E">
          <w:rPr>
            <w:rStyle w:val="Hyperlink"/>
            <w:noProof/>
          </w:rPr>
          <w:t xml:space="preserve"> Purpose of supportive/palliative care psychosocial screening/intervention</w:t>
        </w:r>
        <w:r w:rsidR="00D14D2D">
          <w:rPr>
            <w:noProof/>
            <w:webHidden/>
          </w:rPr>
          <w:tab/>
        </w:r>
        <w:r w:rsidR="00D14D2D">
          <w:rPr>
            <w:noProof/>
            <w:webHidden/>
          </w:rPr>
          <w:fldChar w:fldCharType="begin"/>
        </w:r>
        <w:r w:rsidR="00D14D2D">
          <w:rPr>
            <w:noProof/>
            <w:webHidden/>
          </w:rPr>
          <w:instrText xml:space="preserve"> PAGEREF _Toc128329966 \h </w:instrText>
        </w:r>
        <w:r w:rsidR="00D14D2D">
          <w:rPr>
            <w:noProof/>
            <w:webHidden/>
          </w:rPr>
        </w:r>
        <w:r w:rsidR="00D14D2D">
          <w:rPr>
            <w:noProof/>
            <w:webHidden/>
          </w:rPr>
          <w:fldChar w:fldCharType="separate"/>
        </w:r>
        <w:r w:rsidR="00D14D2D">
          <w:rPr>
            <w:noProof/>
            <w:webHidden/>
          </w:rPr>
          <w:t>29</w:t>
        </w:r>
        <w:r w:rsidR="00D14D2D">
          <w:rPr>
            <w:noProof/>
            <w:webHidden/>
          </w:rPr>
          <w:fldChar w:fldCharType="end"/>
        </w:r>
      </w:hyperlink>
    </w:p>
    <w:p w14:paraId="30CED769" w14:textId="1B017C4B" w:rsidR="00D14D2D" w:rsidRDefault="00000000">
      <w:pPr>
        <w:pStyle w:val="TOC5"/>
        <w:tabs>
          <w:tab w:val="left" w:pos="1762"/>
          <w:tab w:val="right" w:leader="dot" w:pos="9016"/>
        </w:tabs>
        <w:rPr>
          <w:rFonts w:eastAsiaTheme="minorEastAsia"/>
          <w:noProof/>
          <w:lang w:eastAsia="en-GB"/>
        </w:rPr>
      </w:pPr>
      <w:hyperlink w:anchor="_Toc128329967" w:history="1">
        <w:r w:rsidR="00D14D2D" w:rsidRPr="00531D9E">
          <w:rPr>
            <w:rStyle w:val="Hyperlink"/>
            <w:noProof/>
          </w:rPr>
          <w:t xml:space="preserve">4.4.2.2 </w:t>
        </w:r>
        <w:r w:rsidR="00D14D2D">
          <w:rPr>
            <w:rFonts w:eastAsiaTheme="minorEastAsia"/>
            <w:noProof/>
            <w:lang w:eastAsia="en-GB"/>
          </w:rPr>
          <w:tab/>
        </w:r>
        <w:r w:rsidR="00D14D2D" w:rsidRPr="00531D9E">
          <w:rPr>
            <w:rStyle w:val="Hyperlink"/>
            <w:noProof/>
          </w:rPr>
          <w:t xml:space="preserve"> Timing of supportive/palliative psychosocial screening/intervention</w:t>
        </w:r>
        <w:r w:rsidR="00D14D2D">
          <w:rPr>
            <w:noProof/>
            <w:webHidden/>
          </w:rPr>
          <w:tab/>
        </w:r>
        <w:r w:rsidR="00D14D2D">
          <w:rPr>
            <w:noProof/>
            <w:webHidden/>
          </w:rPr>
          <w:fldChar w:fldCharType="begin"/>
        </w:r>
        <w:r w:rsidR="00D14D2D">
          <w:rPr>
            <w:noProof/>
            <w:webHidden/>
          </w:rPr>
          <w:instrText xml:space="preserve"> PAGEREF _Toc128329967 \h </w:instrText>
        </w:r>
        <w:r w:rsidR="00D14D2D">
          <w:rPr>
            <w:noProof/>
            <w:webHidden/>
          </w:rPr>
        </w:r>
        <w:r w:rsidR="00D14D2D">
          <w:rPr>
            <w:noProof/>
            <w:webHidden/>
          </w:rPr>
          <w:fldChar w:fldCharType="separate"/>
        </w:r>
        <w:r w:rsidR="00D14D2D">
          <w:rPr>
            <w:noProof/>
            <w:webHidden/>
          </w:rPr>
          <w:t>29</w:t>
        </w:r>
        <w:r w:rsidR="00D14D2D">
          <w:rPr>
            <w:noProof/>
            <w:webHidden/>
          </w:rPr>
          <w:fldChar w:fldCharType="end"/>
        </w:r>
      </w:hyperlink>
    </w:p>
    <w:p w14:paraId="0A2AA48D" w14:textId="39E17C81" w:rsidR="00D14D2D" w:rsidRDefault="00000000">
      <w:pPr>
        <w:pStyle w:val="TOC5"/>
        <w:tabs>
          <w:tab w:val="left" w:pos="1762"/>
          <w:tab w:val="right" w:leader="dot" w:pos="9016"/>
        </w:tabs>
        <w:rPr>
          <w:rFonts w:eastAsiaTheme="minorEastAsia"/>
          <w:noProof/>
          <w:lang w:eastAsia="en-GB"/>
        </w:rPr>
      </w:pPr>
      <w:hyperlink w:anchor="_Toc128329968" w:history="1">
        <w:r w:rsidR="00D14D2D" w:rsidRPr="00531D9E">
          <w:rPr>
            <w:rStyle w:val="Hyperlink"/>
            <w:noProof/>
          </w:rPr>
          <w:t xml:space="preserve">4.4.2.3 </w:t>
        </w:r>
        <w:r w:rsidR="00D14D2D">
          <w:rPr>
            <w:rFonts w:eastAsiaTheme="minorEastAsia"/>
            <w:noProof/>
            <w:lang w:eastAsia="en-GB"/>
          </w:rPr>
          <w:tab/>
        </w:r>
        <w:r w:rsidR="00D14D2D" w:rsidRPr="00531D9E">
          <w:rPr>
            <w:rStyle w:val="Hyperlink"/>
            <w:noProof/>
          </w:rPr>
          <w:t xml:space="preserve"> Types of additional supportive/palliative care</w:t>
        </w:r>
        <w:r w:rsidR="00D14D2D">
          <w:rPr>
            <w:noProof/>
            <w:webHidden/>
          </w:rPr>
          <w:tab/>
        </w:r>
        <w:r w:rsidR="00D14D2D">
          <w:rPr>
            <w:noProof/>
            <w:webHidden/>
          </w:rPr>
          <w:fldChar w:fldCharType="begin"/>
        </w:r>
        <w:r w:rsidR="00D14D2D">
          <w:rPr>
            <w:noProof/>
            <w:webHidden/>
          </w:rPr>
          <w:instrText xml:space="preserve"> PAGEREF _Toc128329968 \h </w:instrText>
        </w:r>
        <w:r w:rsidR="00D14D2D">
          <w:rPr>
            <w:noProof/>
            <w:webHidden/>
          </w:rPr>
        </w:r>
        <w:r w:rsidR="00D14D2D">
          <w:rPr>
            <w:noProof/>
            <w:webHidden/>
          </w:rPr>
          <w:fldChar w:fldCharType="separate"/>
        </w:r>
        <w:r w:rsidR="00D14D2D">
          <w:rPr>
            <w:noProof/>
            <w:webHidden/>
          </w:rPr>
          <w:t>29</w:t>
        </w:r>
        <w:r w:rsidR="00D14D2D">
          <w:rPr>
            <w:noProof/>
            <w:webHidden/>
          </w:rPr>
          <w:fldChar w:fldCharType="end"/>
        </w:r>
      </w:hyperlink>
    </w:p>
    <w:p w14:paraId="20F75AB0" w14:textId="2B870E08" w:rsidR="00D14D2D" w:rsidRDefault="00000000">
      <w:pPr>
        <w:pStyle w:val="TOC2"/>
        <w:tabs>
          <w:tab w:val="right" w:leader="dot" w:pos="9016"/>
        </w:tabs>
        <w:rPr>
          <w:rFonts w:eastAsiaTheme="minorEastAsia"/>
          <w:noProof/>
          <w:lang w:eastAsia="en-GB"/>
        </w:rPr>
      </w:pPr>
      <w:hyperlink w:anchor="_Toc128329969" w:history="1">
        <w:r w:rsidR="00D14D2D" w:rsidRPr="00531D9E">
          <w:rPr>
            <w:rStyle w:val="Hyperlink"/>
            <w:noProof/>
          </w:rPr>
          <w:t>References</w:t>
        </w:r>
        <w:r w:rsidR="00D14D2D">
          <w:rPr>
            <w:noProof/>
            <w:webHidden/>
          </w:rPr>
          <w:tab/>
        </w:r>
        <w:r w:rsidR="00D14D2D">
          <w:rPr>
            <w:noProof/>
            <w:webHidden/>
          </w:rPr>
          <w:fldChar w:fldCharType="begin"/>
        </w:r>
        <w:r w:rsidR="00D14D2D">
          <w:rPr>
            <w:noProof/>
            <w:webHidden/>
          </w:rPr>
          <w:instrText xml:space="preserve"> PAGEREF _Toc128329969 \h </w:instrText>
        </w:r>
        <w:r w:rsidR="00D14D2D">
          <w:rPr>
            <w:noProof/>
            <w:webHidden/>
          </w:rPr>
        </w:r>
        <w:r w:rsidR="00D14D2D">
          <w:rPr>
            <w:noProof/>
            <w:webHidden/>
          </w:rPr>
          <w:fldChar w:fldCharType="separate"/>
        </w:r>
        <w:r w:rsidR="00D14D2D">
          <w:rPr>
            <w:noProof/>
            <w:webHidden/>
          </w:rPr>
          <w:t>29</w:t>
        </w:r>
        <w:r w:rsidR="00D14D2D">
          <w:rPr>
            <w:noProof/>
            <w:webHidden/>
          </w:rPr>
          <w:fldChar w:fldCharType="end"/>
        </w:r>
      </w:hyperlink>
    </w:p>
    <w:p w14:paraId="4C5EE4E2" w14:textId="709557EB" w:rsidR="00D14D2D" w:rsidRDefault="00000000">
      <w:pPr>
        <w:pStyle w:val="TOC4"/>
        <w:tabs>
          <w:tab w:val="left" w:pos="2053"/>
          <w:tab w:val="right" w:leader="dot" w:pos="9016"/>
        </w:tabs>
        <w:rPr>
          <w:rFonts w:eastAsiaTheme="minorEastAsia"/>
          <w:noProof/>
          <w:lang w:eastAsia="en-GB"/>
        </w:rPr>
      </w:pPr>
      <w:hyperlink w:anchor="_Toc128329970" w:history="1">
        <w:r w:rsidR="00D14D2D" w:rsidRPr="00531D9E">
          <w:rPr>
            <w:rStyle w:val="Hyperlink"/>
            <w:noProof/>
          </w:rPr>
          <w:t>Appendix 4.1</w:t>
        </w:r>
        <w:r w:rsidR="00D14D2D">
          <w:rPr>
            <w:rFonts w:eastAsiaTheme="minorEastAsia"/>
            <w:noProof/>
            <w:lang w:eastAsia="en-GB"/>
          </w:rPr>
          <w:tab/>
        </w:r>
        <w:r w:rsidR="00D14D2D" w:rsidRPr="00531D9E">
          <w:rPr>
            <w:rStyle w:val="Hyperlink"/>
            <w:noProof/>
          </w:rPr>
          <w:t>Patient Health Questionnaire 4</w:t>
        </w:r>
        <w:r w:rsidR="00D14D2D">
          <w:rPr>
            <w:noProof/>
            <w:webHidden/>
          </w:rPr>
          <w:tab/>
        </w:r>
        <w:r w:rsidR="00D14D2D">
          <w:rPr>
            <w:noProof/>
            <w:webHidden/>
          </w:rPr>
          <w:fldChar w:fldCharType="begin"/>
        </w:r>
        <w:r w:rsidR="00D14D2D">
          <w:rPr>
            <w:noProof/>
            <w:webHidden/>
          </w:rPr>
          <w:instrText xml:space="preserve"> PAGEREF _Toc128329970 \h </w:instrText>
        </w:r>
        <w:r w:rsidR="00D14D2D">
          <w:rPr>
            <w:noProof/>
            <w:webHidden/>
          </w:rPr>
        </w:r>
        <w:r w:rsidR="00D14D2D">
          <w:rPr>
            <w:noProof/>
            <w:webHidden/>
          </w:rPr>
          <w:fldChar w:fldCharType="separate"/>
        </w:r>
        <w:r w:rsidR="00D14D2D">
          <w:rPr>
            <w:noProof/>
            <w:webHidden/>
          </w:rPr>
          <w:t>32</w:t>
        </w:r>
        <w:r w:rsidR="00D14D2D">
          <w:rPr>
            <w:noProof/>
            <w:webHidden/>
          </w:rPr>
          <w:fldChar w:fldCharType="end"/>
        </w:r>
      </w:hyperlink>
    </w:p>
    <w:p w14:paraId="6F7F8EDC" w14:textId="514FE472" w:rsidR="00D14D2D" w:rsidRDefault="00000000">
      <w:pPr>
        <w:pStyle w:val="TOC4"/>
        <w:tabs>
          <w:tab w:val="left" w:pos="2053"/>
          <w:tab w:val="right" w:leader="dot" w:pos="9016"/>
        </w:tabs>
        <w:rPr>
          <w:rFonts w:eastAsiaTheme="minorEastAsia"/>
          <w:noProof/>
          <w:lang w:eastAsia="en-GB"/>
        </w:rPr>
      </w:pPr>
      <w:hyperlink w:anchor="_Toc128329971" w:history="1">
        <w:r w:rsidR="00D14D2D" w:rsidRPr="00531D9E">
          <w:rPr>
            <w:rStyle w:val="Hyperlink"/>
            <w:noProof/>
          </w:rPr>
          <w:t>Appendix 4.2</w:t>
        </w:r>
        <w:r w:rsidR="00D14D2D">
          <w:rPr>
            <w:rFonts w:eastAsiaTheme="minorEastAsia"/>
            <w:noProof/>
            <w:lang w:eastAsia="en-GB"/>
          </w:rPr>
          <w:tab/>
        </w:r>
        <w:r w:rsidR="00D14D2D" w:rsidRPr="00531D9E">
          <w:rPr>
            <w:rStyle w:val="Hyperlink"/>
            <w:noProof/>
          </w:rPr>
          <w:t>Distress Thermometer</w:t>
        </w:r>
        <w:r w:rsidR="00D14D2D">
          <w:rPr>
            <w:noProof/>
            <w:webHidden/>
          </w:rPr>
          <w:tab/>
        </w:r>
        <w:r w:rsidR="00D14D2D">
          <w:rPr>
            <w:noProof/>
            <w:webHidden/>
          </w:rPr>
          <w:fldChar w:fldCharType="begin"/>
        </w:r>
        <w:r w:rsidR="00D14D2D">
          <w:rPr>
            <w:noProof/>
            <w:webHidden/>
          </w:rPr>
          <w:instrText xml:space="preserve"> PAGEREF _Toc128329971 \h </w:instrText>
        </w:r>
        <w:r w:rsidR="00D14D2D">
          <w:rPr>
            <w:noProof/>
            <w:webHidden/>
          </w:rPr>
        </w:r>
        <w:r w:rsidR="00D14D2D">
          <w:rPr>
            <w:noProof/>
            <w:webHidden/>
          </w:rPr>
          <w:fldChar w:fldCharType="separate"/>
        </w:r>
        <w:r w:rsidR="00D14D2D">
          <w:rPr>
            <w:noProof/>
            <w:webHidden/>
          </w:rPr>
          <w:t>33</w:t>
        </w:r>
        <w:r w:rsidR="00D14D2D">
          <w:rPr>
            <w:noProof/>
            <w:webHidden/>
          </w:rPr>
          <w:fldChar w:fldCharType="end"/>
        </w:r>
      </w:hyperlink>
    </w:p>
    <w:p w14:paraId="0B98892F" w14:textId="0CCC3C01" w:rsidR="00D14D2D" w:rsidRDefault="00000000">
      <w:pPr>
        <w:pStyle w:val="TOC4"/>
        <w:tabs>
          <w:tab w:val="left" w:pos="2053"/>
          <w:tab w:val="right" w:leader="dot" w:pos="9016"/>
        </w:tabs>
        <w:rPr>
          <w:rFonts w:eastAsiaTheme="minorEastAsia"/>
          <w:noProof/>
          <w:lang w:eastAsia="en-GB"/>
        </w:rPr>
      </w:pPr>
      <w:hyperlink w:anchor="_Toc128329972" w:history="1">
        <w:r w:rsidR="00D14D2D" w:rsidRPr="00531D9E">
          <w:rPr>
            <w:rStyle w:val="Hyperlink"/>
            <w:noProof/>
          </w:rPr>
          <w:t>Appendix 4.3</w:t>
        </w:r>
        <w:r w:rsidR="00D14D2D">
          <w:rPr>
            <w:rFonts w:eastAsiaTheme="minorEastAsia"/>
            <w:noProof/>
            <w:lang w:eastAsia="en-GB"/>
          </w:rPr>
          <w:tab/>
        </w:r>
        <w:r w:rsidR="00D14D2D" w:rsidRPr="00531D9E">
          <w:rPr>
            <w:rStyle w:val="Hyperlink"/>
            <w:noProof/>
          </w:rPr>
          <w:t>Work &amp; Social Adjustment Scale</w:t>
        </w:r>
        <w:r w:rsidR="00D14D2D">
          <w:rPr>
            <w:noProof/>
            <w:webHidden/>
          </w:rPr>
          <w:tab/>
        </w:r>
        <w:r w:rsidR="00D14D2D">
          <w:rPr>
            <w:noProof/>
            <w:webHidden/>
          </w:rPr>
          <w:fldChar w:fldCharType="begin"/>
        </w:r>
        <w:r w:rsidR="00D14D2D">
          <w:rPr>
            <w:noProof/>
            <w:webHidden/>
          </w:rPr>
          <w:instrText xml:space="preserve"> PAGEREF _Toc128329972 \h </w:instrText>
        </w:r>
        <w:r w:rsidR="00D14D2D">
          <w:rPr>
            <w:noProof/>
            <w:webHidden/>
          </w:rPr>
        </w:r>
        <w:r w:rsidR="00D14D2D">
          <w:rPr>
            <w:noProof/>
            <w:webHidden/>
          </w:rPr>
          <w:fldChar w:fldCharType="separate"/>
        </w:r>
        <w:r w:rsidR="00D14D2D">
          <w:rPr>
            <w:noProof/>
            <w:webHidden/>
          </w:rPr>
          <w:t>34</w:t>
        </w:r>
        <w:r w:rsidR="00D14D2D">
          <w:rPr>
            <w:noProof/>
            <w:webHidden/>
          </w:rPr>
          <w:fldChar w:fldCharType="end"/>
        </w:r>
      </w:hyperlink>
    </w:p>
    <w:p w14:paraId="75D37BE8" w14:textId="5B876660" w:rsidR="00D14D2D" w:rsidRDefault="00000000">
      <w:pPr>
        <w:pStyle w:val="TOC4"/>
        <w:tabs>
          <w:tab w:val="left" w:pos="2053"/>
          <w:tab w:val="right" w:leader="dot" w:pos="9016"/>
        </w:tabs>
        <w:rPr>
          <w:rFonts w:eastAsiaTheme="minorEastAsia"/>
          <w:noProof/>
          <w:lang w:eastAsia="en-GB"/>
        </w:rPr>
      </w:pPr>
      <w:hyperlink w:anchor="_Toc128329973" w:history="1">
        <w:r w:rsidR="00D14D2D" w:rsidRPr="00531D9E">
          <w:rPr>
            <w:rStyle w:val="Hyperlink"/>
            <w:noProof/>
          </w:rPr>
          <w:t>Appendix 4.4</w:t>
        </w:r>
        <w:r w:rsidR="00D14D2D">
          <w:rPr>
            <w:rFonts w:eastAsiaTheme="minorEastAsia"/>
            <w:noProof/>
            <w:lang w:eastAsia="en-GB"/>
          </w:rPr>
          <w:tab/>
        </w:r>
        <w:r w:rsidR="00D14D2D" w:rsidRPr="00531D9E">
          <w:rPr>
            <w:rStyle w:val="Hyperlink"/>
            <w:noProof/>
          </w:rPr>
          <w:t>Medication Adherence Report Scale 5</w:t>
        </w:r>
        <w:r w:rsidR="00D14D2D">
          <w:rPr>
            <w:noProof/>
            <w:webHidden/>
          </w:rPr>
          <w:tab/>
        </w:r>
        <w:r w:rsidR="00D14D2D">
          <w:rPr>
            <w:noProof/>
            <w:webHidden/>
          </w:rPr>
          <w:fldChar w:fldCharType="begin"/>
        </w:r>
        <w:r w:rsidR="00D14D2D">
          <w:rPr>
            <w:noProof/>
            <w:webHidden/>
          </w:rPr>
          <w:instrText xml:space="preserve"> PAGEREF _Toc128329973 \h </w:instrText>
        </w:r>
        <w:r w:rsidR="00D14D2D">
          <w:rPr>
            <w:noProof/>
            <w:webHidden/>
          </w:rPr>
        </w:r>
        <w:r w:rsidR="00D14D2D">
          <w:rPr>
            <w:noProof/>
            <w:webHidden/>
          </w:rPr>
          <w:fldChar w:fldCharType="separate"/>
        </w:r>
        <w:r w:rsidR="00D14D2D">
          <w:rPr>
            <w:noProof/>
            <w:webHidden/>
          </w:rPr>
          <w:t>35</w:t>
        </w:r>
        <w:r w:rsidR="00D14D2D">
          <w:rPr>
            <w:noProof/>
            <w:webHidden/>
          </w:rPr>
          <w:fldChar w:fldCharType="end"/>
        </w:r>
      </w:hyperlink>
    </w:p>
    <w:p w14:paraId="4D455716" w14:textId="624261D7" w:rsidR="00D14D2D" w:rsidRDefault="00000000">
      <w:pPr>
        <w:pStyle w:val="TOC1"/>
        <w:tabs>
          <w:tab w:val="left" w:pos="440"/>
          <w:tab w:val="right" w:leader="dot" w:pos="9016"/>
        </w:tabs>
        <w:rPr>
          <w:rFonts w:eastAsiaTheme="minorEastAsia"/>
          <w:noProof/>
          <w:lang w:eastAsia="en-GB"/>
        </w:rPr>
      </w:pPr>
      <w:hyperlink w:anchor="_Toc128329974" w:history="1">
        <w:r w:rsidR="00D14D2D" w:rsidRPr="00531D9E">
          <w:rPr>
            <w:rStyle w:val="Hyperlink"/>
            <w:noProof/>
          </w:rPr>
          <w:t>5</w:t>
        </w:r>
        <w:r w:rsidR="00D14D2D">
          <w:rPr>
            <w:rFonts w:eastAsiaTheme="minorEastAsia"/>
            <w:noProof/>
            <w:lang w:eastAsia="en-GB"/>
          </w:rPr>
          <w:tab/>
        </w:r>
        <w:r w:rsidR="00D14D2D" w:rsidRPr="00531D9E">
          <w:rPr>
            <w:rStyle w:val="Hyperlink"/>
            <w:noProof/>
          </w:rPr>
          <w:t>PAEDIATRICS</w:t>
        </w:r>
        <w:r w:rsidR="00D14D2D">
          <w:rPr>
            <w:noProof/>
            <w:webHidden/>
          </w:rPr>
          <w:tab/>
        </w:r>
        <w:r w:rsidR="00D14D2D">
          <w:rPr>
            <w:noProof/>
            <w:webHidden/>
          </w:rPr>
          <w:fldChar w:fldCharType="begin"/>
        </w:r>
        <w:r w:rsidR="00D14D2D">
          <w:rPr>
            <w:noProof/>
            <w:webHidden/>
          </w:rPr>
          <w:instrText xml:space="preserve"> PAGEREF _Toc128329974 \h </w:instrText>
        </w:r>
        <w:r w:rsidR="00D14D2D">
          <w:rPr>
            <w:noProof/>
            <w:webHidden/>
          </w:rPr>
        </w:r>
        <w:r w:rsidR="00D14D2D">
          <w:rPr>
            <w:noProof/>
            <w:webHidden/>
          </w:rPr>
          <w:fldChar w:fldCharType="separate"/>
        </w:r>
        <w:r w:rsidR="00D14D2D">
          <w:rPr>
            <w:noProof/>
            <w:webHidden/>
          </w:rPr>
          <w:t>36</w:t>
        </w:r>
        <w:r w:rsidR="00D14D2D">
          <w:rPr>
            <w:noProof/>
            <w:webHidden/>
          </w:rPr>
          <w:fldChar w:fldCharType="end"/>
        </w:r>
      </w:hyperlink>
    </w:p>
    <w:p w14:paraId="782ABEBB" w14:textId="2E7FD122" w:rsidR="00D14D2D" w:rsidRDefault="00000000">
      <w:pPr>
        <w:pStyle w:val="TOC2"/>
        <w:tabs>
          <w:tab w:val="right" w:leader="dot" w:pos="9016"/>
        </w:tabs>
        <w:rPr>
          <w:rFonts w:eastAsiaTheme="minorEastAsia"/>
          <w:noProof/>
          <w:lang w:eastAsia="en-GB"/>
        </w:rPr>
      </w:pPr>
      <w:hyperlink w:anchor="_Toc128329975" w:history="1">
        <w:r w:rsidR="00D14D2D" w:rsidRPr="00531D9E">
          <w:rPr>
            <w:rStyle w:val="Hyperlink"/>
            <w:noProof/>
          </w:rPr>
          <w:t>Statements of Recommendation</w:t>
        </w:r>
        <w:r w:rsidR="00D14D2D">
          <w:rPr>
            <w:noProof/>
            <w:webHidden/>
          </w:rPr>
          <w:tab/>
        </w:r>
        <w:r w:rsidR="00D14D2D">
          <w:rPr>
            <w:noProof/>
            <w:webHidden/>
          </w:rPr>
          <w:fldChar w:fldCharType="begin"/>
        </w:r>
        <w:r w:rsidR="00D14D2D">
          <w:rPr>
            <w:noProof/>
            <w:webHidden/>
          </w:rPr>
          <w:instrText xml:space="preserve"> PAGEREF _Toc128329975 \h </w:instrText>
        </w:r>
        <w:r w:rsidR="00D14D2D">
          <w:rPr>
            <w:noProof/>
            <w:webHidden/>
          </w:rPr>
        </w:r>
        <w:r w:rsidR="00D14D2D">
          <w:rPr>
            <w:noProof/>
            <w:webHidden/>
          </w:rPr>
          <w:fldChar w:fldCharType="separate"/>
        </w:r>
        <w:r w:rsidR="00D14D2D">
          <w:rPr>
            <w:noProof/>
            <w:webHidden/>
          </w:rPr>
          <w:t>36</w:t>
        </w:r>
        <w:r w:rsidR="00D14D2D">
          <w:rPr>
            <w:noProof/>
            <w:webHidden/>
          </w:rPr>
          <w:fldChar w:fldCharType="end"/>
        </w:r>
      </w:hyperlink>
    </w:p>
    <w:p w14:paraId="1AE400AD" w14:textId="366EF19F" w:rsidR="00D14D2D" w:rsidRDefault="00000000">
      <w:pPr>
        <w:pStyle w:val="TOC2"/>
        <w:tabs>
          <w:tab w:val="right" w:leader="dot" w:pos="9016"/>
        </w:tabs>
        <w:rPr>
          <w:rFonts w:eastAsiaTheme="minorEastAsia"/>
          <w:noProof/>
          <w:lang w:eastAsia="en-GB"/>
        </w:rPr>
      </w:pPr>
      <w:hyperlink w:anchor="_Toc128329976" w:history="1">
        <w:r w:rsidR="00D14D2D" w:rsidRPr="00531D9E">
          <w:rPr>
            <w:rStyle w:val="Hyperlink"/>
            <w:noProof/>
          </w:rPr>
          <w:t>Rationale</w:t>
        </w:r>
        <w:r w:rsidR="00D14D2D">
          <w:rPr>
            <w:noProof/>
            <w:webHidden/>
          </w:rPr>
          <w:tab/>
        </w:r>
        <w:r w:rsidR="00D14D2D">
          <w:rPr>
            <w:noProof/>
            <w:webHidden/>
          </w:rPr>
          <w:fldChar w:fldCharType="begin"/>
        </w:r>
        <w:r w:rsidR="00D14D2D">
          <w:rPr>
            <w:noProof/>
            <w:webHidden/>
          </w:rPr>
          <w:instrText xml:space="preserve"> PAGEREF _Toc128329976 \h </w:instrText>
        </w:r>
        <w:r w:rsidR="00D14D2D">
          <w:rPr>
            <w:noProof/>
            <w:webHidden/>
          </w:rPr>
        </w:r>
        <w:r w:rsidR="00D14D2D">
          <w:rPr>
            <w:noProof/>
            <w:webHidden/>
          </w:rPr>
          <w:fldChar w:fldCharType="separate"/>
        </w:r>
        <w:r w:rsidR="00D14D2D">
          <w:rPr>
            <w:noProof/>
            <w:webHidden/>
          </w:rPr>
          <w:t>37</w:t>
        </w:r>
        <w:r w:rsidR="00D14D2D">
          <w:rPr>
            <w:noProof/>
            <w:webHidden/>
          </w:rPr>
          <w:fldChar w:fldCharType="end"/>
        </w:r>
      </w:hyperlink>
    </w:p>
    <w:p w14:paraId="37FAA053" w14:textId="6FC54796" w:rsidR="00D14D2D" w:rsidRDefault="00000000">
      <w:pPr>
        <w:pStyle w:val="TOC3"/>
        <w:tabs>
          <w:tab w:val="right" w:leader="dot" w:pos="9016"/>
        </w:tabs>
        <w:rPr>
          <w:rFonts w:eastAsiaTheme="minorEastAsia"/>
          <w:noProof/>
          <w:lang w:eastAsia="en-GB"/>
        </w:rPr>
      </w:pPr>
      <w:hyperlink w:anchor="_Toc128329977" w:history="1">
        <w:r w:rsidR="00D14D2D" w:rsidRPr="00531D9E">
          <w:rPr>
            <w:rStyle w:val="Hyperlink"/>
            <w:noProof/>
          </w:rPr>
          <w:t>5.1 Introduction</w:t>
        </w:r>
        <w:r w:rsidR="00D14D2D">
          <w:rPr>
            <w:noProof/>
            <w:webHidden/>
          </w:rPr>
          <w:tab/>
        </w:r>
        <w:r w:rsidR="00D14D2D">
          <w:rPr>
            <w:noProof/>
            <w:webHidden/>
          </w:rPr>
          <w:fldChar w:fldCharType="begin"/>
        </w:r>
        <w:r w:rsidR="00D14D2D">
          <w:rPr>
            <w:noProof/>
            <w:webHidden/>
          </w:rPr>
          <w:instrText xml:space="preserve"> PAGEREF _Toc128329977 \h </w:instrText>
        </w:r>
        <w:r w:rsidR="00D14D2D">
          <w:rPr>
            <w:noProof/>
            <w:webHidden/>
          </w:rPr>
        </w:r>
        <w:r w:rsidR="00D14D2D">
          <w:rPr>
            <w:noProof/>
            <w:webHidden/>
          </w:rPr>
          <w:fldChar w:fldCharType="separate"/>
        </w:r>
        <w:r w:rsidR="00D14D2D">
          <w:rPr>
            <w:noProof/>
            <w:webHidden/>
          </w:rPr>
          <w:t>37</w:t>
        </w:r>
        <w:r w:rsidR="00D14D2D">
          <w:rPr>
            <w:noProof/>
            <w:webHidden/>
          </w:rPr>
          <w:fldChar w:fldCharType="end"/>
        </w:r>
      </w:hyperlink>
    </w:p>
    <w:p w14:paraId="24E561D3" w14:textId="6617C780" w:rsidR="00D14D2D" w:rsidRDefault="00000000">
      <w:pPr>
        <w:pStyle w:val="TOC4"/>
        <w:tabs>
          <w:tab w:val="left" w:pos="1540"/>
          <w:tab w:val="right" w:leader="dot" w:pos="9016"/>
        </w:tabs>
        <w:rPr>
          <w:rFonts w:eastAsiaTheme="minorEastAsia"/>
          <w:noProof/>
          <w:lang w:eastAsia="en-GB"/>
        </w:rPr>
      </w:pPr>
      <w:hyperlink w:anchor="_Toc128329978" w:history="1">
        <w:r w:rsidR="00D14D2D" w:rsidRPr="00531D9E">
          <w:rPr>
            <w:rStyle w:val="Hyperlink"/>
            <w:noProof/>
          </w:rPr>
          <w:t xml:space="preserve">5.1.1 </w:t>
        </w:r>
        <w:r w:rsidR="00D14D2D">
          <w:rPr>
            <w:rFonts w:eastAsiaTheme="minorEastAsia"/>
            <w:noProof/>
            <w:lang w:eastAsia="en-GB"/>
          </w:rPr>
          <w:tab/>
        </w:r>
        <w:r w:rsidR="00D14D2D" w:rsidRPr="00531D9E">
          <w:rPr>
            <w:rStyle w:val="Hyperlink"/>
            <w:noProof/>
          </w:rPr>
          <w:t>Defining a failing graft</w:t>
        </w:r>
        <w:r w:rsidR="00D14D2D">
          <w:rPr>
            <w:noProof/>
            <w:webHidden/>
          </w:rPr>
          <w:tab/>
        </w:r>
        <w:r w:rsidR="00D14D2D">
          <w:rPr>
            <w:noProof/>
            <w:webHidden/>
          </w:rPr>
          <w:fldChar w:fldCharType="begin"/>
        </w:r>
        <w:r w:rsidR="00D14D2D">
          <w:rPr>
            <w:noProof/>
            <w:webHidden/>
          </w:rPr>
          <w:instrText xml:space="preserve"> PAGEREF _Toc128329978 \h </w:instrText>
        </w:r>
        <w:r w:rsidR="00D14D2D">
          <w:rPr>
            <w:noProof/>
            <w:webHidden/>
          </w:rPr>
        </w:r>
        <w:r w:rsidR="00D14D2D">
          <w:rPr>
            <w:noProof/>
            <w:webHidden/>
          </w:rPr>
          <w:fldChar w:fldCharType="separate"/>
        </w:r>
        <w:r w:rsidR="00D14D2D">
          <w:rPr>
            <w:noProof/>
            <w:webHidden/>
          </w:rPr>
          <w:t>37</w:t>
        </w:r>
        <w:r w:rsidR="00D14D2D">
          <w:rPr>
            <w:noProof/>
            <w:webHidden/>
          </w:rPr>
          <w:fldChar w:fldCharType="end"/>
        </w:r>
      </w:hyperlink>
    </w:p>
    <w:p w14:paraId="0EE6B50C" w14:textId="2E8809B0" w:rsidR="00D14D2D" w:rsidRDefault="00000000">
      <w:pPr>
        <w:pStyle w:val="TOC4"/>
        <w:tabs>
          <w:tab w:val="left" w:pos="1540"/>
          <w:tab w:val="right" w:leader="dot" w:pos="9016"/>
        </w:tabs>
        <w:rPr>
          <w:rFonts w:eastAsiaTheme="minorEastAsia"/>
          <w:noProof/>
          <w:lang w:eastAsia="en-GB"/>
        </w:rPr>
      </w:pPr>
      <w:hyperlink w:anchor="_Toc128329979" w:history="1">
        <w:r w:rsidR="00D14D2D" w:rsidRPr="00531D9E">
          <w:rPr>
            <w:rStyle w:val="Hyperlink"/>
            <w:noProof/>
          </w:rPr>
          <w:t xml:space="preserve">5.1.2 </w:t>
        </w:r>
        <w:r w:rsidR="00D14D2D">
          <w:rPr>
            <w:rFonts w:eastAsiaTheme="minorEastAsia"/>
            <w:noProof/>
            <w:lang w:eastAsia="en-GB"/>
          </w:rPr>
          <w:tab/>
        </w:r>
        <w:r w:rsidR="00D14D2D" w:rsidRPr="00531D9E">
          <w:rPr>
            <w:rStyle w:val="Hyperlink"/>
            <w:noProof/>
          </w:rPr>
          <w:t>Causes of graft failure in children</w:t>
        </w:r>
        <w:r w:rsidR="00D14D2D">
          <w:rPr>
            <w:noProof/>
            <w:webHidden/>
          </w:rPr>
          <w:tab/>
        </w:r>
        <w:r w:rsidR="00D14D2D">
          <w:rPr>
            <w:noProof/>
            <w:webHidden/>
          </w:rPr>
          <w:fldChar w:fldCharType="begin"/>
        </w:r>
        <w:r w:rsidR="00D14D2D">
          <w:rPr>
            <w:noProof/>
            <w:webHidden/>
          </w:rPr>
          <w:instrText xml:space="preserve"> PAGEREF _Toc128329979 \h </w:instrText>
        </w:r>
        <w:r w:rsidR="00D14D2D">
          <w:rPr>
            <w:noProof/>
            <w:webHidden/>
          </w:rPr>
        </w:r>
        <w:r w:rsidR="00D14D2D">
          <w:rPr>
            <w:noProof/>
            <w:webHidden/>
          </w:rPr>
          <w:fldChar w:fldCharType="separate"/>
        </w:r>
        <w:r w:rsidR="00D14D2D">
          <w:rPr>
            <w:noProof/>
            <w:webHidden/>
          </w:rPr>
          <w:t>37</w:t>
        </w:r>
        <w:r w:rsidR="00D14D2D">
          <w:rPr>
            <w:noProof/>
            <w:webHidden/>
          </w:rPr>
          <w:fldChar w:fldCharType="end"/>
        </w:r>
      </w:hyperlink>
    </w:p>
    <w:p w14:paraId="43BC3539" w14:textId="236D197C" w:rsidR="00D14D2D" w:rsidRDefault="00000000">
      <w:pPr>
        <w:pStyle w:val="TOC4"/>
        <w:tabs>
          <w:tab w:val="left" w:pos="1540"/>
          <w:tab w:val="right" w:leader="dot" w:pos="9016"/>
        </w:tabs>
        <w:rPr>
          <w:rFonts w:eastAsiaTheme="minorEastAsia"/>
          <w:noProof/>
          <w:lang w:eastAsia="en-GB"/>
        </w:rPr>
      </w:pPr>
      <w:hyperlink w:anchor="_Toc128329980" w:history="1">
        <w:r w:rsidR="00D14D2D" w:rsidRPr="00531D9E">
          <w:rPr>
            <w:rStyle w:val="Hyperlink"/>
            <w:noProof/>
          </w:rPr>
          <w:t xml:space="preserve">5.1.3 </w:t>
        </w:r>
        <w:r w:rsidR="00D14D2D">
          <w:rPr>
            <w:rFonts w:eastAsiaTheme="minorEastAsia"/>
            <w:noProof/>
            <w:lang w:eastAsia="en-GB"/>
          </w:rPr>
          <w:tab/>
        </w:r>
        <w:r w:rsidR="00D14D2D" w:rsidRPr="00531D9E">
          <w:rPr>
            <w:rStyle w:val="Hyperlink"/>
            <w:noProof/>
          </w:rPr>
          <w:t>Epidemiology</w:t>
        </w:r>
        <w:r w:rsidR="00D14D2D">
          <w:rPr>
            <w:noProof/>
            <w:webHidden/>
          </w:rPr>
          <w:tab/>
        </w:r>
        <w:r w:rsidR="00D14D2D">
          <w:rPr>
            <w:noProof/>
            <w:webHidden/>
          </w:rPr>
          <w:fldChar w:fldCharType="begin"/>
        </w:r>
        <w:r w:rsidR="00D14D2D">
          <w:rPr>
            <w:noProof/>
            <w:webHidden/>
          </w:rPr>
          <w:instrText xml:space="preserve"> PAGEREF _Toc128329980 \h </w:instrText>
        </w:r>
        <w:r w:rsidR="00D14D2D">
          <w:rPr>
            <w:noProof/>
            <w:webHidden/>
          </w:rPr>
        </w:r>
        <w:r w:rsidR="00D14D2D">
          <w:rPr>
            <w:noProof/>
            <w:webHidden/>
          </w:rPr>
          <w:fldChar w:fldCharType="separate"/>
        </w:r>
        <w:r w:rsidR="00D14D2D">
          <w:rPr>
            <w:noProof/>
            <w:webHidden/>
          </w:rPr>
          <w:t>38</w:t>
        </w:r>
        <w:r w:rsidR="00D14D2D">
          <w:rPr>
            <w:noProof/>
            <w:webHidden/>
          </w:rPr>
          <w:fldChar w:fldCharType="end"/>
        </w:r>
      </w:hyperlink>
    </w:p>
    <w:p w14:paraId="26529776" w14:textId="796DCACE" w:rsidR="00D14D2D" w:rsidRDefault="00000000">
      <w:pPr>
        <w:pStyle w:val="TOC3"/>
        <w:tabs>
          <w:tab w:val="right" w:leader="dot" w:pos="9016"/>
        </w:tabs>
        <w:rPr>
          <w:rFonts w:eastAsiaTheme="minorEastAsia"/>
          <w:noProof/>
          <w:lang w:eastAsia="en-GB"/>
        </w:rPr>
      </w:pPr>
      <w:hyperlink w:anchor="_Toc128329981" w:history="1">
        <w:r w:rsidR="00D14D2D" w:rsidRPr="00531D9E">
          <w:rPr>
            <w:rStyle w:val="Hyperlink"/>
            <w:noProof/>
          </w:rPr>
          <w:t>5.2 Overall aims for the management of CKD (T)</w:t>
        </w:r>
        <w:r w:rsidR="00D14D2D">
          <w:rPr>
            <w:noProof/>
            <w:webHidden/>
          </w:rPr>
          <w:tab/>
        </w:r>
        <w:r w:rsidR="00D14D2D">
          <w:rPr>
            <w:noProof/>
            <w:webHidden/>
          </w:rPr>
          <w:fldChar w:fldCharType="begin"/>
        </w:r>
        <w:r w:rsidR="00D14D2D">
          <w:rPr>
            <w:noProof/>
            <w:webHidden/>
          </w:rPr>
          <w:instrText xml:space="preserve"> PAGEREF _Toc128329981 \h </w:instrText>
        </w:r>
        <w:r w:rsidR="00D14D2D">
          <w:rPr>
            <w:noProof/>
            <w:webHidden/>
          </w:rPr>
        </w:r>
        <w:r w:rsidR="00D14D2D">
          <w:rPr>
            <w:noProof/>
            <w:webHidden/>
          </w:rPr>
          <w:fldChar w:fldCharType="separate"/>
        </w:r>
        <w:r w:rsidR="00D14D2D">
          <w:rPr>
            <w:noProof/>
            <w:webHidden/>
          </w:rPr>
          <w:t>38</w:t>
        </w:r>
        <w:r w:rsidR="00D14D2D">
          <w:rPr>
            <w:noProof/>
            <w:webHidden/>
          </w:rPr>
          <w:fldChar w:fldCharType="end"/>
        </w:r>
      </w:hyperlink>
    </w:p>
    <w:p w14:paraId="498955D8" w14:textId="70324301" w:rsidR="00D14D2D" w:rsidRDefault="00000000">
      <w:pPr>
        <w:pStyle w:val="TOC4"/>
        <w:tabs>
          <w:tab w:val="left" w:pos="1540"/>
          <w:tab w:val="right" w:leader="dot" w:pos="9016"/>
        </w:tabs>
        <w:rPr>
          <w:rFonts w:eastAsiaTheme="minorEastAsia"/>
          <w:noProof/>
          <w:lang w:eastAsia="en-GB"/>
        </w:rPr>
      </w:pPr>
      <w:hyperlink w:anchor="_Toc128329982" w:history="1">
        <w:r w:rsidR="00D14D2D" w:rsidRPr="00531D9E">
          <w:rPr>
            <w:rStyle w:val="Hyperlink"/>
            <w:noProof/>
          </w:rPr>
          <w:t xml:space="preserve">5.2.1 </w:t>
        </w:r>
        <w:r w:rsidR="00D14D2D">
          <w:rPr>
            <w:rFonts w:eastAsiaTheme="minorEastAsia"/>
            <w:noProof/>
            <w:lang w:eastAsia="en-GB"/>
          </w:rPr>
          <w:tab/>
        </w:r>
        <w:r w:rsidR="00D14D2D" w:rsidRPr="00531D9E">
          <w:rPr>
            <w:rStyle w:val="Hyperlink"/>
            <w:noProof/>
          </w:rPr>
          <w:t>Hypertension and cardiovascular disease</w:t>
        </w:r>
        <w:r w:rsidR="00D14D2D">
          <w:rPr>
            <w:noProof/>
            <w:webHidden/>
          </w:rPr>
          <w:tab/>
        </w:r>
        <w:r w:rsidR="00D14D2D">
          <w:rPr>
            <w:noProof/>
            <w:webHidden/>
          </w:rPr>
          <w:fldChar w:fldCharType="begin"/>
        </w:r>
        <w:r w:rsidR="00D14D2D">
          <w:rPr>
            <w:noProof/>
            <w:webHidden/>
          </w:rPr>
          <w:instrText xml:space="preserve"> PAGEREF _Toc128329982 \h </w:instrText>
        </w:r>
        <w:r w:rsidR="00D14D2D">
          <w:rPr>
            <w:noProof/>
            <w:webHidden/>
          </w:rPr>
        </w:r>
        <w:r w:rsidR="00D14D2D">
          <w:rPr>
            <w:noProof/>
            <w:webHidden/>
          </w:rPr>
          <w:fldChar w:fldCharType="separate"/>
        </w:r>
        <w:r w:rsidR="00D14D2D">
          <w:rPr>
            <w:noProof/>
            <w:webHidden/>
          </w:rPr>
          <w:t>38</w:t>
        </w:r>
        <w:r w:rsidR="00D14D2D">
          <w:rPr>
            <w:noProof/>
            <w:webHidden/>
          </w:rPr>
          <w:fldChar w:fldCharType="end"/>
        </w:r>
      </w:hyperlink>
    </w:p>
    <w:p w14:paraId="34AF205A" w14:textId="37FC954E" w:rsidR="00D14D2D" w:rsidRDefault="00000000">
      <w:pPr>
        <w:pStyle w:val="TOC4"/>
        <w:tabs>
          <w:tab w:val="left" w:pos="1540"/>
          <w:tab w:val="right" w:leader="dot" w:pos="9016"/>
        </w:tabs>
        <w:rPr>
          <w:rFonts w:eastAsiaTheme="minorEastAsia"/>
          <w:noProof/>
          <w:lang w:eastAsia="en-GB"/>
        </w:rPr>
      </w:pPr>
      <w:hyperlink w:anchor="_Toc128329983" w:history="1">
        <w:r w:rsidR="00D14D2D" w:rsidRPr="00531D9E">
          <w:rPr>
            <w:rStyle w:val="Hyperlink"/>
            <w:noProof/>
          </w:rPr>
          <w:t xml:space="preserve">5.2.2 </w:t>
        </w:r>
        <w:r w:rsidR="00D14D2D">
          <w:rPr>
            <w:rFonts w:eastAsiaTheme="minorEastAsia"/>
            <w:noProof/>
            <w:lang w:eastAsia="en-GB"/>
          </w:rPr>
          <w:tab/>
        </w:r>
        <w:r w:rsidR="00D14D2D" w:rsidRPr="00531D9E">
          <w:rPr>
            <w:rStyle w:val="Hyperlink"/>
            <w:noProof/>
          </w:rPr>
          <w:t>Anaemia</w:t>
        </w:r>
        <w:r w:rsidR="00D14D2D">
          <w:rPr>
            <w:noProof/>
            <w:webHidden/>
          </w:rPr>
          <w:tab/>
        </w:r>
        <w:r w:rsidR="00D14D2D">
          <w:rPr>
            <w:noProof/>
            <w:webHidden/>
          </w:rPr>
          <w:fldChar w:fldCharType="begin"/>
        </w:r>
        <w:r w:rsidR="00D14D2D">
          <w:rPr>
            <w:noProof/>
            <w:webHidden/>
          </w:rPr>
          <w:instrText xml:space="preserve"> PAGEREF _Toc128329983 \h </w:instrText>
        </w:r>
        <w:r w:rsidR="00D14D2D">
          <w:rPr>
            <w:noProof/>
            <w:webHidden/>
          </w:rPr>
        </w:r>
        <w:r w:rsidR="00D14D2D">
          <w:rPr>
            <w:noProof/>
            <w:webHidden/>
          </w:rPr>
          <w:fldChar w:fldCharType="separate"/>
        </w:r>
        <w:r w:rsidR="00D14D2D">
          <w:rPr>
            <w:noProof/>
            <w:webHidden/>
          </w:rPr>
          <w:t>39</w:t>
        </w:r>
        <w:r w:rsidR="00D14D2D">
          <w:rPr>
            <w:noProof/>
            <w:webHidden/>
          </w:rPr>
          <w:fldChar w:fldCharType="end"/>
        </w:r>
      </w:hyperlink>
    </w:p>
    <w:p w14:paraId="3D78F137" w14:textId="4F1B76E8" w:rsidR="00D14D2D" w:rsidRDefault="00000000">
      <w:pPr>
        <w:pStyle w:val="TOC4"/>
        <w:tabs>
          <w:tab w:val="left" w:pos="1540"/>
          <w:tab w:val="right" w:leader="dot" w:pos="9016"/>
        </w:tabs>
        <w:rPr>
          <w:rFonts w:eastAsiaTheme="minorEastAsia"/>
          <w:noProof/>
          <w:lang w:eastAsia="en-GB"/>
        </w:rPr>
      </w:pPr>
      <w:hyperlink w:anchor="_Toc128329984" w:history="1">
        <w:r w:rsidR="00D14D2D" w:rsidRPr="00531D9E">
          <w:rPr>
            <w:rStyle w:val="Hyperlink"/>
            <w:noProof/>
          </w:rPr>
          <w:t>5.2.3</w:t>
        </w:r>
        <w:r w:rsidR="00D14D2D">
          <w:rPr>
            <w:rFonts w:eastAsiaTheme="minorEastAsia"/>
            <w:noProof/>
            <w:lang w:eastAsia="en-GB"/>
          </w:rPr>
          <w:tab/>
        </w:r>
        <w:r w:rsidR="00D14D2D" w:rsidRPr="00531D9E">
          <w:rPr>
            <w:rStyle w:val="Hyperlink"/>
            <w:noProof/>
          </w:rPr>
          <w:t>Optimisation of growth</w:t>
        </w:r>
        <w:r w:rsidR="00D14D2D">
          <w:rPr>
            <w:noProof/>
            <w:webHidden/>
          </w:rPr>
          <w:tab/>
        </w:r>
        <w:r w:rsidR="00D14D2D">
          <w:rPr>
            <w:noProof/>
            <w:webHidden/>
          </w:rPr>
          <w:fldChar w:fldCharType="begin"/>
        </w:r>
        <w:r w:rsidR="00D14D2D">
          <w:rPr>
            <w:noProof/>
            <w:webHidden/>
          </w:rPr>
          <w:instrText xml:space="preserve"> PAGEREF _Toc128329984 \h </w:instrText>
        </w:r>
        <w:r w:rsidR="00D14D2D">
          <w:rPr>
            <w:noProof/>
            <w:webHidden/>
          </w:rPr>
        </w:r>
        <w:r w:rsidR="00D14D2D">
          <w:rPr>
            <w:noProof/>
            <w:webHidden/>
          </w:rPr>
          <w:fldChar w:fldCharType="separate"/>
        </w:r>
        <w:r w:rsidR="00D14D2D">
          <w:rPr>
            <w:noProof/>
            <w:webHidden/>
          </w:rPr>
          <w:t>40</w:t>
        </w:r>
        <w:r w:rsidR="00D14D2D">
          <w:rPr>
            <w:noProof/>
            <w:webHidden/>
          </w:rPr>
          <w:fldChar w:fldCharType="end"/>
        </w:r>
      </w:hyperlink>
    </w:p>
    <w:p w14:paraId="63CAA09F" w14:textId="123B83B7" w:rsidR="00D14D2D" w:rsidRDefault="00000000">
      <w:pPr>
        <w:pStyle w:val="TOC4"/>
        <w:tabs>
          <w:tab w:val="left" w:pos="1540"/>
          <w:tab w:val="right" w:leader="dot" w:pos="9016"/>
        </w:tabs>
        <w:rPr>
          <w:rFonts w:eastAsiaTheme="minorEastAsia"/>
          <w:noProof/>
          <w:lang w:eastAsia="en-GB"/>
        </w:rPr>
      </w:pPr>
      <w:hyperlink w:anchor="_Toc128329985" w:history="1">
        <w:r w:rsidR="00D14D2D" w:rsidRPr="00531D9E">
          <w:rPr>
            <w:rStyle w:val="Hyperlink"/>
            <w:noProof/>
          </w:rPr>
          <w:t xml:space="preserve">5.2.4 </w:t>
        </w:r>
        <w:r w:rsidR="00D14D2D">
          <w:rPr>
            <w:rFonts w:eastAsiaTheme="minorEastAsia"/>
            <w:noProof/>
            <w:lang w:eastAsia="en-GB"/>
          </w:rPr>
          <w:tab/>
        </w:r>
        <w:r w:rsidR="00D14D2D" w:rsidRPr="00531D9E">
          <w:rPr>
            <w:rStyle w:val="Hyperlink"/>
            <w:noProof/>
          </w:rPr>
          <w:t>Risk of diabetes</w:t>
        </w:r>
        <w:r w:rsidR="00D14D2D">
          <w:rPr>
            <w:noProof/>
            <w:webHidden/>
          </w:rPr>
          <w:tab/>
        </w:r>
        <w:r w:rsidR="00D14D2D">
          <w:rPr>
            <w:noProof/>
            <w:webHidden/>
          </w:rPr>
          <w:fldChar w:fldCharType="begin"/>
        </w:r>
        <w:r w:rsidR="00D14D2D">
          <w:rPr>
            <w:noProof/>
            <w:webHidden/>
          </w:rPr>
          <w:instrText xml:space="preserve"> PAGEREF _Toc128329985 \h </w:instrText>
        </w:r>
        <w:r w:rsidR="00D14D2D">
          <w:rPr>
            <w:noProof/>
            <w:webHidden/>
          </w:rPr>
        </w:r>
        <w:r w:rsidR="00D14D2D">
          <w:rPr>
            <w:noProof/>
            <w:webHidden/>
          </w:rPr>
          <w:fldChar w:fldCharType="separate"/>
        </w:r>
        <w:r w:rsidR="00D14D2D">
          <w:rPr>
            <w:noProof/>
            <w:webHidden/>
          </w:rPr>
          <w:t>40</w:t>
        </w:r>
        <w:r w:rsidR="00D14D2D">
          <w:rPr>
            <w:noProof/>
            <w:webHidden/>
          </w:rPr>
          <w:fldChar w:fldCharType="end"/>
        </w:r>
      </w:hyperlink>
    </w:p>
    <w:p w14:paraId="6F80E533" w14:textId="7491F603" w:rsidR="00D14D2D" w:rsidRDefault="00000000">
      <w:pPr>
        <w:pStyle w:val="TOC3"/>
        <w:tabs>
          <w:tab w:val="right" w:leader="dot" w:pos="9016"/>
        </w:tabs>
        <w:rPr>
          <w:rFonts w:eastAsiaTheme="minorEastAsia"/>
          <w:noProof/>
          <w:lang w:eastAsia="en-GB"/>
        </w:rPr>
      </w:pPr>
      <w:hyperlink w:anchor="_Toc128329986" w:history="1">
        <w:r w:rsidR="00D14D2D" w:rsidRPr="00531D9E">
          <w:rPr>
            <w:rStyle w:val="Hyperlink"/>
            <w:noProof/>
          </w:rPr>
          <w:t>5.3. Immunosuppression</w:t>
        </w:r>
        <w:r w:rsidR="00D14D2D">
          <w:rPr>
            <w:noProof/>
            <w:webHidden/>
          </w:rPr>
          <w:tab/>
        </w:r>
        <w:r w:rsidR="00D14D2D">
          <w:rPr>
            <w:noProof/>
            <w:webHidden/>
          </w:rPr>
          <w:fldChar w:fldCharType="begin"/>
        </w:r>
        <w:r w:rsidR="00D14D2D">
          <w:rPr>
            <w:noProof/>
            <w:webHidden/>
          </w:rPr>
          <w:instrText xml:space="preserve"> PAGEREF _Toc128329986 \h </w:instrText>
        </w:r>
        <w:r w:rsidR="00D14D2D">
          <w:rPr>
            <w:noProof/>
            <w:webHidden/>
          </w:rPr>
        </w:r>
        <w:r w:rsidR="00D14D2D">
          <w:rPr>
            <w:noProof/>
            <w:webHidden/>
          </w:rPr>
          <w:fldChar w:fldCharType="separate"/>
        </w:r>
        <w:r w:rsidR="00D14D2D">
          <w:rPr>
            <w:noProof/>
            <w:webHidden/>
          </w:rPr>
          <w:t>41</w:t>
        </w:r>
        <w:r w:rsidR="00D14D2D">
          <w:rPr>
            <w:noProof/>
            <w:webHidden/>
          </w:rPr>
          <w:fldChar w:fldCharType="end"/>
        </w:r>
      </w:hyperlink>
    </w:p>
    <w:p w14:paraId="3EE5D5E1" w14:textId="75701359" w:rsidR="00D14D2D" w:rsidRDefault="00000000">
      <w:pPr>
        <w:pStyle w:val="TOC3"/>
        <w:tabs>
          <w:tab w:val="right" w:leader="dot" w:pos="9016"/>
        </w:tabs>
        <w:rPr>
          <w:rFonts w:eastAsiaTheme="minorEastAsia"/>
          <w:noProof/>
          <w:lang w:eastAsia="en-GB"/>
        </w:rPr>
      </w:pPr>
      <w:hyperlink w:anchor="_Toc128329987" w:history="1">
        <w:r w:rsidR="00D14D2D" w:rsidRPr="00531D9E">
          <w:rPr>
            <w:rStyle w:val="Hyperlink"/>
            <w:noProof/>
          </w:rPr>
          <w:t>5.4 Vaccination and infection</w:t>
        </w:r>
        <w:r w:rsidR="00D14D2D">
          <w:rPr>
            <w:noProof/>
            <w:webHidden/>
          </w:rPr>
          <w:tab/>
        </w:r>
        <w:r w:rsidR="00D14D2D">
          <w:rPr>
            <w:noProof/>
            <w:webHidden/>
          </w:rPr>
          <w:fldChar w:fldCharType="begin"/>
        </w:r>
        <w:r w:rsidR="00D14D2D">
          <w:rPr>
            <w:noProof/>
            <w:webHidden/>
          </w:rPr>
          <w:instrText xml:space="preserve"> PAGEREF _Toc128329987 \h </w:instrText>
        </w:r>
        <w:r w:rsidR="00D14D2D">
          <w:rPr>
            <w:noProof/>
            <w:webHidden/>
          </w:rPr>
        </w:r>
        <w:r w:rsidR="00D14D2D">
          <w:rPr>
            <w:noProof/>
            <w:webHidden/>
          </w:rPr>
          <w:fldChar w:fldCharType="separate"/>
        </w:r>
        <w:r w:rsidR="00D14D2D">
          <w:rPr>
            <w:noProof/>
            <w:webHidden/>
          </w:rPr>
          <w:t>42</w:t>
        </w:r>
        <w:r w:rsidR="00D14D2D">
          <w:rPr>
            <w:noProof/>
            <w:webHidden/>
          </w:rPr>
          <w:fldChar w:fldCharType="end"/>
        </w:r>
      </w:hyperlink>
    </w:p>
    <w:p w14:paraId="124AF86D" w14:textId="51CD0096" w:rsidR="00D14D2D" w:rsidRDefault="00000000">
      <w:pPr>
        <w:pStyle w:val="TOC3"/>
        <w:tabs>
          <w:tab w:val="right" w:leader="dot" w:pos="9016"/>
        </w:tabs>
        <w:rPr>
          <w:rFonts w:eastAsiaTheme="minorEastAsia"/>
          <w:noProof/>
          <w:lang w:eastAsia="en-GB"/>
        </w:rPr>
      </w:pPr>
      <w:hyperlink w:anchor="_Toc128329988" w:history="1">
        <w:r w:rsidR="00D14D2D" w:rsidRPr="00531D9E">
          <w:rPr>
            <w:rStyle w:val="Hyperlink"/>
            <w:noProof/>
          </w:rPr>
          <w:t>5.5 Surgical aspects</w:t>
        </w:r>
        <w:r w:rsidR="00D14D2D">
          <w:rPr>
            <w:noProof/>
            <w:webHidden/>
          </w:rPr>
          <w:tab/>
        </w:r>
        <w:r w:rsidR="00D14D2D">
          <w:rPr>
            <w:noProof/>
            <w:webHidden/>
          </w:rPr>
          <w:fldChar w:fldCharType="begin"/>
        </w:r>
        <w:r w:rsidR="00D14D2D">
          <w:rPr>
            <w:noProof/>
            <w:webHidden/>
          </w:rPr>
          <w:instrText xml:space="preserve"> PAGEREF _Toc128329988 \h </w:instrText>
        </w:r>
        <w:r w:rsidR="00D14D2D">
          <w:rPr>
            <w:noProof/>
            <w:webHidden/>
          </w:rPr>
        </w:r>
        <w:r w:rsidR="00D14D2D">
          <w:rPr>
            <w:noProof/>
            <w:webHidden/>
          </w:rPr>
          <w:fldChar w:fldCharType="separate"/>
        </w:r>
        <w:r w:rsidR="00D14D2D">
          <w:rPr>
            <w:noProof/>
            <w:webHidden/>
          </w:rPr>
          <w:t>42</w:t>
        </w:r>
        <w:r w:rsidR="00D14D2D">
          <w:rPr>
            <w:noProof/>
            <w:webHidden/>
          </w:rPr>
          <w:fldChar w:fldCharType="end"/>
        </w:r>
      </w:hyperlink>
    </w:p>
    <w:p w14:paraId="61291F59" w14:textId="3DDECF00" w:rsidR="00D14D2D" w:rsidRDefault="00000000">
      <w:pPr>
        <w:pStyle w:val="TOC4"/>
        <w:tabs>
          <w:tab w:val="left" w:pos="1540"/>
          <w:tab w:val="right" w:leader="dot" w:pos="9016"/>
        </w:tabs>
        <w:rPr>
          <w:rFonts w:eastAsiaTheme="minorEastAsia"/>
          <w:noProof/>
          <w:lang w:eastAsia="en-GB"/>
        </w:rPr>
      </w:pPr>
      <w:hyperlink w:anchor="_Toc128329989" w:history="1">
        <w:r w:rsidR="00D14D2D" w:rsidRPr="00531D9E">
          <w:rPr>
            <w:rStyle w:val="Hyperlink"/>
            <w:noProof/>
          </w:rPr>
          <w:t xml:space="preserve">5.5.1 </w:t>
        </w:r>
        <w:r w:rsidR="00D14D2D">
          <w:rPr>
            <w:rFonts w:eastAsiaTheme="minorEastAsia"/>
            <w:noProof/>
            <w:lang w:eastAsia="en-GB"/>
          </w:rPr>
          <w:tab/>
        </w:r>
        <w:r w:rsidR="00D14D2D" w:rsidRPr="00531D9E">
          <w:rPr>
            <w:rStyle w:val="Hyperlink"/>
            <w:noProof/>
          </w:rPr>
          <w:t>Transplant Nephrectomy</w:t>
        </w:r>
        <w:r w:rsidR="00D14D2D">
          <w:rPr>
            <w:noProof/>
            <w:webHidden/>
          </w:rPr>
          <w:tab/>
        </w:r>
        <w:r w:rsidR="00D14D2D">
          <w:rPr>
            <w:noProof/>
            <w:webHidden/>
          </w:rPr>
          <w:fldChar w:fldCharType="begin"/>
        </w:r>
        <w:r w:rsidR="00D14D2D">
          <w:rPr>
            <w:noProof/>
            <w:webHidden/>
          </w:rPr>
          <w:instrText xml:space="preserve"> PAGEREF _Toc128329989 \h </w:instrText>
        </w:r>
        <w:r w:rsidR="00D14D2D">
          <w:rPr>
            <w:noProof/>
            <w:webHidden/>
          </w:rPr>
        </w:r>
        <w:r w:rsidR="00D14D2D">
          <w:rPr>
            <w:noProof/>
            <w:webHidden/>
          </w:rPr>
          <w:fldChar w:fldCharType="separate"/>
        </w:r>
        <w:r w:rsidR="00D14D2D">
          <w:rPr>
            <w:noProof/>
            <w:webHidden/>
          </w:rPr>
          <w:t>42</w:t>
        </w:r>
        <w:r w:rsidR="00D14D2D">
          <w:rPr>
            <w:noProof/>
            <w:webHidden/>
          </w:rPr>
          <w:fldChar w:fldCharType="end"/>
        </w:r>
      </w:hyperlink>
    </w:p>
    <w:p w14:paraId="01A48A8E" w14:textId="2C345B83" w:rsidR="00D14D2D" w:rsidRDefault="00000000">
      <w:pPr>
        <w:pStyle w:val="TOC4"/>
        <w:tabs>
          <w:tab w:val="left" w:pos="1540"/>
          <w:tab w:val="right" w:leader="dot" w:pos="9016"/>
        </w:tabs>
        <w:rPr>
          <w:rFonts w:eastAsiaTheme="minorEastAsia"/>
          <w:noProof/>
          <w:lang w:eastAsia="en-GB"/>
        </w:rPr>
      </w:pPr>
      <w:hyperlink w:anchor="_Toc128329990" w:history="1">
        <w:r w:rsidR="00D14D2D" w:rsidRPr="00531D9E">
          <w:rPr>
            <w:rStyle w:val="Hyperlink"/>
            <w:noProof/>
          </w:rPr>
          <w:t xml:space="preserve">5.5.2 </w:t>
        </w:r>
        <w:r w:rsidR="00D14D2D">
          <w:rPr>
            <w:rFonts w:eastAsiaTheme="minorEastAsia"/>
            <w:noProof/>
            <w:lang w:eastAsia="en-GB"/>
          </w:rPr>
          <w:tab/>
        </w:r>
        <w:r w:rsidR="00D14D2D" w:rsidRPr="00531D9E">
          <w:rPr>
            <w:rStyle w:val="Hyperlink"/>
            <w:noProof/>
          </w:rPr>
          <w:t>Bladder management</w:t>
        </w:r>
        <w:r w:rsidR="00D14D2D">
          <w:rPr>
            <w:noProof/>
            <w:webHidden/>
          </w:rPr>
          <w:tab/>
        </w:r>
        <w:r w:rsidR="00D14D2D">
          <w:rPr>
            <w:noProof/>
            <w:webHidden/>
          </w:rPr>
          <w:fldChar w:fldCharType="begin"/>
        </w:r>
        <w:r w:rsidR="00D14D2D">
          <w:rPr>
            <w:noProof/>
            <w:webHidden/>
          </w:rPr>
          <w:instrText xml:space="preserve"> PAGEREF _Toc128329990 \h </w:instrText>
        </w:r>
        <w:r w:rsidR="00D14D2D">
          <w:rPr>
            <w:noProof/>
            <w:webHidden/>
          </w:rPr>
        </w:r>
        <w:r w:rsidR="00D14D2D">
          <w:rPr>
            <w:noProof/>
            <w:webHidden/>
          </w:rPr>
          <w:fldChar w:fldCharType="separate"/>
        </w:r>
        <w:r w:rsidR="00D14D2D">
          <w:rPr>
            <w:noProof/>
            <w:webHidden/>
          </w:rPr>
          <w:t>42</w:t>
        </w:r>
        <w:r w:rsidR="00D14D2D">
          <w:rPr>
            <w:noProof/>
            <w:webHidden/>
          </w:rPr>
          <w:fldChar w:fldCharType="end"/>
        </w:r>
      </w:hyperlink>
    </w:p>
    <w:p w14:paraId="2064084F" w14:textId="50E55055" w:rsidR="00D14D2D" w:rsidRDefault="00000000">
      <w:pPr>
        <w:pStyle w:val="TOC3"/>
        <w:tabs>
          <w:tab w:val="right" w:leader="dot" w:pos="9016"/>
        </w:tabs>
        <w:rPr>
          <w:rFonts w:eastAsiaTheme="minorEastAsia"/>
          <w:noProof/>
          <w:lang w:eastAsia="en-GB"/>
        </w:rPr>
      </w:pPr>
      <w:hyperlink w:anchor="_Toc128329991" w:history="1">
        <w:r w:rsidR="00D14D2D" w:rsidRPr="00531D9E">
          <w:rPr>
            <w:rStyle w:val="Hyperlink"/>
            <w:noProof/>
          </w:rPr>
          <w:t>5.6. Vascular access/ Dialysis options</w:t>
        </w:r>
        <w:r w:rsidR="00D14D2D">
          <w:rPr>
            <w:noProof/>
            <w:webHidden/>
          </w:rPr>
          <w:tab/>
        </w:r>
        <w:r w:rsidR="00D14D2D">
          <w:rPr>
            <w:noProof/>
            <w:webHidden/>
          </w:rPr>
          <w:fldChar w:fldCharType="begin"/>
        </w:r>
        <w:r w:rsidR="00D14D2D">
          <w:rPr>
            <w:noProof/>
            <w:webHidden/>
          </w:rPr>
          <w:instrText xml:space="preserve"> PAGEREF _Toc128329991 \h </w:instrText>
        </w:r>
        <w:r w:rsidR="00D14D2D">
          <w:rPr>
            <w:noProof/>
            <w:webHidden/>
          </w:rPr>
        </w:r>
        <w:r w:rsidR="00D14D2D">
          <w:rPr>
            <w:noProof/>
            <w:webHidden/>
          </w:rPr>
          <w:fldChar w:fldCharType="separate"/>
        </w:r>
        <w:r w:rsidR="00D14D2D">
          <w:rPr>
            <w:noProof/>
            <w:webHidden/>
          </w:rPr>
          <w:t>43</w:t>
        </w:r>
        <w:r w:rsidR="00D14D2D">
          <w:rPr>
            <w:noProof/>
            <w:webHidden/>
          </w:rPr>
          <w:fldChar w:fldCharType="end"/>
        </w:r>
      </w:hyperlink>
    </w:p>
    <w:p w14:paraId="389F844F" w14:textId="75E547C6" w:rsidR="00D14D2D" w:rsidRDefault="00000000">
      <w:pPr>
        <w:pStyle w:val="TOC3"/>
        <w:tabs>
          <w:tab w:val="right" w:leader="dot" w:pos="9016"/>
        </w:tabs>
        <w:rPr>
          <w:rFonts w:eastAsiaTheme="minorEastAsia"/>
          <w:noProof/>
          <w:lang w:eastAsia="en-GB"/>
        </w:rPr>
      </w:pPr>
      <w:hyperlink w:anchor="_Toc128329992" w:history="1">
        <w:r w:rsidR="00D14D2D" w:rsidRPr="00531D9E">
          <w:rPr>
            <w:rStyle w:val="Hyperlink"/>
            <w:noProof/>
          </w:rPr>
          <w:t>5.7. Transition to adult services</w:t>
        </w:r>
        <w:r w:rsidR="00D14D2D">
          <w:rPr>
            <w:noProof/>
            <w:webHidden/>
          </w:rPr>
          <w:tab/>
        </w:r>
        <w:r w:rsidR="00D14D2D">
          <w:rPr>
            <w:noProof/>
            <w:webHidden/>
          </w:rPr>
          <w:fldChar w:fldCharType="begin"/>
        </w:r>
        <w:r w:rsidR="00D14D2D">
          <w:rPr>
            <w:noProof/>
            <w:webHidden/>
          </w:rPr>
          <w:instrText xml:space="preserve"> PAGEREF _Toc128329992 \h </w:instrText>
        </w:r>
        <w:r w:rsidR="00D14D2D">
          <w:rPr>
            <w:noProof/>
            <w:webHidden/>
          </w:rPr>
        </w:r>
        <w:r w:rsidR="00D14D2D">
          <w:rPr>
            <w:noProof/>
            <w:webHidden/>
          </w:rPr>
          <w:fldChar w:fldCharType="separate"/>
        </w:r>
        <w:r w:rsidR="00D14D2D">
          <w:rPr>
            <w:noProof/>
            <w:webHidden/>
          </w:rPr>
          <w:t>43</w:t>
        </w:r>
        <w:r w:rsidR="00D14D2D">
          <w:rPr>
            <w:noProof/>
            <w:webHidden/>
          </w:rPr>
          <w:fldChar w:fldCharType="end"/>
        </w:r>
      </w:hyperlink>
    </w:p>
    <w:p w14:paraId="5AA3A639" w14:textId="01D58993" w:rsidR="00D14D2D" w:rsidRDefault="00000000">
      <w:pPr>
        <w:pStyle w:val="TOC3"/>
        <w:tabs>
          <w:tab w:val="right" w:leader="dot" w:pos="9016"/>
        </w:tabs>
        <w:rPr>
          <w:rFonts w:eastAsiaTheme="minorEastAsia"/>
          <w:noProof/>
          <w:lang w:eastAsia="en-GB"/>
        </w:rPr>
      </w:pPr>
      <w:hyperlink w:anchor="_Toc128329993" w:history="1">
        <w:r w:rsidR="00D14D2D" w:rsidRPr="00531D9E">
          <w:rPr>
            <w:rStyle w:val="Hyperlink"/>
            <w:noProof/>
          </w:rPr>
          <w:t>5.8.  Multi-disciplinary approach</w:t>
        </w:r>
        <w:r w:rsidR="00D14D2D">
          <w:rPr>
            <w:noProof/>
            <w:webHidden/>
          </w:rPr>
          <w:tab/>
        </w:r>
        <w:r w:rsidR="00D14D2D">
          <w:rPr>
            <w:noProof/>
            <w:webHidden/>
          </w:rPr>
          <w:fldChar w:fldCharType="begin"/>
        </w:r>
        <w:r w:rsidR="00D14D2D">
          <w:rPr>
            <w:noProof/>
            <w:webHidden/>
          </w:rPr>
          <w:instrText xml:space="preserve"> PAGEREF _Toc128329993 \h </w:instrText>
        </w:r>
        <w:r w:rsidR="00D14D2D">
          <w:rPr>
            <w:noProof/>
            <w:webHidden/>
          </w:rPr>
        </w:r>
        <w:r w:rsidR="00D14D2D">
          <w:rPr>
            <w:noProof/>
            <w:webHidden/>
          </w:rPr>
          <w:fldChar w:fldCharType="separate"/>
        </w:r>
        <w:r w:rsidR="00D14D2D">
          <w:rPr>
            <w:noProof/>
            <w:webHidden/>
          </w:rPr>
          <w:t>43</w:t>
        </w:r>
        <w:r w:rsidR="00D14D2D">
          <w:rPr>
            <w:noProof/>
            <w:webHidden/>
          </w:rPr>
          <w:fldChar w:fldCharType="end"/>
        </w:r>
      </w:hyperlink>
    </w:p>
    <w:p w14:paraId="532CC0DB" w14:textId="1712B0A7" w:rsidR="00D14D2D" w:rsidRDefault="00000000">
      <w:pPr>
        <w:pStyle w:val="TOC2"/>
        <w:tabs>
          <w:tab w:val="right" w:leader="dot" w:pos="9016"/>
        </w:tabs>
        <w:rPr>
          <w:rFonts w:eastAsiaTheme="minorEastAsia"/>
          <w:noProof/>
          <w:lang w:eastAsia="en-GB"/>
        </w:rPr>
      </w:pPr>
      <w:hyperlink w:anchor="_Toc128329994" w:history="1">
        <w:r w:rsidR="00D14D2D" w:rsidRPr="00531D9E">
          <w:rPr>
            <w:rStyle w:val="Hyperlink"/>
            <w:noProof/>
          </w:rPr>
          <w:t>References</w:t>
        </w:r>
        <w:r w:rsidR="00D14D2D">
          <w:rPr>
            <w:noProof/>
            <w:webHidden/>
          </w:rPr>
          <w:tab/>
        </w:r>
        <w:r w:rsidR="00D14D2D">
          <w:rPr>
            <w:noProof/>
            <w:webHidden/>
          </w:rPr>
          <w:fldChar w:fldCharType="begin"/>
        </w:r>
        <w:r w:rsidR="00D14D2D">
          <w:rPr>
            <w:noProof/>
            <w:webHidden/>
          </w:rPr>
          <w:instrText xml:space="preserve"> PAGEREF _Toc128329994 \h </w:instrText>
        </w:r>
        <w:r w:rsidR="00D14D2D">
          <w:rPr>
            <w:noProof/>
            <w:webHidden/>
          </w:rPr>
        </w:r>
        <w:r w:rsidR="00D14D2D">
          <w:rPr>
            <w:noProof/>
            <w:webHidden/>
          </w:rPr>
          <w:fldChar w:fldCharType="separate"/>
        </w:r>
        <w:r w:rsidR="00D14D2D">
          <w:rPr>
            <w:noProof/>
            <w:webHidden/>
          </w:rPr>
          <w:t>44</w:t>
        </w:r>
        <w:r w:rsidR="00D14D2D">
          <w:rPr>
            <w:noProof/>
            <w:webHidden/>
          </w:rPr>
          <w:fldChar w:fldCharType="end"/>
        </w:r>
      </w:hyperlink>
    </w:p>
    <w:p w14:paraId="76EF7DD4" w14:textId="4B5E5D90" w:rsidR="00D14D2D" w:rsidRDefault="00000000">
      <w:pPr>
        <w:pStyle w:val="TOC1"/>
        <w:tabs>
          <w:tab w:val="left" w:pos="440"/>
          <w:tab w:val="right" w:leader="dot" w:pos="9016"/>
        </w:tabs>
        <w:rPr>
          <w:rFonts w:eastAsiaTheme="minorEastAsia"/>
          <w:noProof/>
          <w:lang w:eastAsia="en-GB"/>
        </w:rPr>
      </w:pPr>
      <w:hyperlink w:anchor="_Toc128329995" w:history="1">
        <w:r w:rsidR="00D14D2D" w:rsidRPr="00531D9E">
          <w:rPr>
            <w:rStyle w:val="Hyperlink"/>
            <w:noProof/>
          </w:rPr>
          <w:t xml:space="preserve">6 </w:t>
        </w:r>
        <w:r w:rsidR="00D14D2D">
          <w:rPr>
            <w:rFonts w:eastAsiaTheme="minorEastAsia"/>
            <w:noProof/>
            <w:lang w:eastAsia="en-GB"/>
          </w:rPr>
          <w:tab/>
        </w:r>
        <w:r w:rsidR="00D14D2D" w:rsidRPr="00531D9E">
          <w:rPr>
            <w:rStyle w:val="Hyperlink"/>
            <w:noProof/>
          </w:rPr>
          <w:t>LIFESTYLE AND THE FAILING KIDNEY TRANSPLANT</w:t>
        </w:r>
        <w:r w:rsidR="00D14D2D">
          <w:rPr>
            <w:noProof/>
            <w:webHidden/>
          </w:rPr>
          <w:tab/>
        </w:r>
        <w:r w:rsidR="00D14D2D">
          <w:rPr>
            <w:noProof/>
            <w:webHidden/>
          </w:rPr>
          <w:fldChar w:fldCharType="begin"/>
        </w:r>
        <w:r w:rsidR="00D14D2D">
          <w:rPr>
            <w:noProof/>
            <w:webHidden/>
          </w:rPr>
          <w:instrText xml:space="preserve"> PAGEREF _Toc128329995 \h </w:instrText>
        </w:r>
        <w:r w:rsidR="00D14D2D">
          <w:rPr>
            <w:noProof/>
            <w:webHidden/>
          </w:rPr>
        </w:r>
        <w:r w:rsidR="00D14D2D">
          <w:rPr>
            <w:noProof/>
            <w:webHidden/>
          </w:rPr>
          <w:fldChar w:fldCharType="separate"/>
        </w:r>
        <w:r w:rsidR="00D14D2D">
          <w:rPr>
            <w:noProof/>
            <w:webHidden/>
          </w:rPr>
          <w:t>45</w:t>
        </w:r>
        <w:r w:rsidR="00D14D2D">
          <w:rPr>
            <w:noProof/>
            <w:webHidden/>
          </w:rPr>
          <w:fldChar w:fldCharType="end"/>
        </w:r>
      </w:hyperlink>
    </w:p>
    <w:p w14:paraId="5CBB19E9" w14:textId="4DC3BBA7" w:rsidR="00D14D2D" w:rsidRDefault="00000000">
      <w:pPr>
        <w:pStyle w:val="TOC2"/>
        <w:tabs>
          <w:tab w:val="right" w:leader="dot" w:pos="9016"/>
        </w:tabs>
        <w:rPr>
          <w:rFonts w:eastAsiaTheme="minorEastAsia"/>
          <w:noProof/>
          <w:lang w:eastAsia="en-GB"/>
        </w:rPr>
      </w:pPr>
      <w:hyperlink w:anchor="_Toc128329996" w:history="1">
        <w:r w:rsidR="00D14D2D" w:rsidRPr="00531D9E">
          <w:rPr>
            <w:rStyle w:val="Hyperlink"/>
            <w:noProof/>
          </w:rPr>
          <w:t>Statements of recommendation</w:t>
        </w:r>
        <w:r w:rsidR="00D14D2D">
          <w:rPr>
            <w:noProof/>
            <w:webHidden/>
          </w:rPr>
          <w:tab/>
        </w:r>
        <w:r w:rsidR="00D14D2D">
          <w:rPr>
            <w:noProof/>
            <w:webHidden/>
          </w:rPr>
          <w:fldChar w:fldCharType="begin"/>
        </w:r>
        <w:r w:rsidR="00D14D2D">
          <w:rPr>
            <w:noProof/>
            <w:webHidden/>
          </w:rPr>
          <w:instrText xml:space="preserve"> PAGEREF _Toc128329996 \h </w:instrText>
        </w:r>
        <w:r w:rsidR="00D14D2D">
          <w:rPr>
            <w:noProof/>
            <w:webHidden/>
          </w:rPr>
        </w:r>
        <w:r w:rsidR="00D14D2D">
          <w:rPr>
            <w:noProof/>
            <w:webHidden/>
          </w:rPr>
          <w:fldChar w:fldCharType="separate"/>
        </w:r>
        <w:r w:rsidR="00D14D2D">
          <w:rPr>
            <w:noProof/>
            <w:webHidden/>
          </w:rPr>
          <w:t>45</w:t>
        </w:r>
        <w:r w:rsidR="00D14D2D">
          <w:rPr>
            <w:noProof/>
            <w:webHidden/>
          </w:rPr>
          <w:fldChar w:fldCharType="end"/>
        </w:r>
      </w:hyperlink>
    </w:p>
    <w:p w14:paraId="10DDEF11" w14:textId="3A40751E" w:rsidR="00D14D2D" w:rsidRDefault="00000000">
      <w:pPr>
        <w:pStyle w:val="TOC2"/>
        <w:tabs>
          <w:tab w:val="right" w:leader="dot" w:pos="9016"/>
        </w:tabs>
        <w:rPr>
          <w:rFonts w:eastAsiaTheme="minorEastAsia"/>
          <w:noProof/>
          <w:lang w:eastAsia="en-GB"/>
        </w:rPr>
      </w:pPr>
      <w:hyperlink w:anchor="_Toc128329997" w:history="1">
        <w:r w:rsidR="00D14D2D" w:rsidRPr="00531D9E">
          <w:rPr>
            <w:rStyle w:val="Hyperlink"/>
            <w:noProof/>
          </w:rPr>
          <w:t>Rationale</w:t>
        </w:r>
        <w:r w:rsidR="00D14D2D">
          <w:rPr>
            <w:noProof/>
            <w:webHidden/>
          </w:rPr>
          <w:tab/>
        </w:r>
        <w:r w:rsidR="00D14D2D">
          <w:rPr>
            <w:noProof/>
            <w:webHidden/>
          </w:rPr>
          <w:fldChar w:fldCharType="begin"/>
        </w:r>
        <w:r w:rsidR="00D14D2D">
          <w:rPr>
            <w:noProof/>
            <w:webHidden/>
          </w:rPr>
          <w:instrText xml:space="preserve"> PAGEREF _Toc128329997 \h </w:instrText>
        </w:r>
        <w:r w:rsidR="00D14D2D">
          <w:rPr>
            <w:noProof/>
            <w:webHidden/>
          </w:rPr>
        </w:r>
        <w:r w:rsidR="00D14D2D">
          <w:rPr>
            <w:noProof/>
            <w:webHidden/>
          </w:rPr>
          <w:fldChar w:fldCharType="separate"/>
        </w:r>
        <w:r w:rsidR="00D14D2D">
          <w:rPr>
            <w:noProof/>
            <w:webHidden/>
          </w:rPr>
          <w:t>46</w:t>
        </w:r>
        <w:r w:rsidR="00D14D2D">
          <w:rPr>
            <w:noProof/>
            <w:webHidden/>
          </w:rPr>
          <w:fldChar w:fldCharType="end"/>
        </w:r>
      </w:hyperlink>
    </w:p>
    <w:p w14:paraId="2D291679" w14:textId="7E1FF411" w:rsidR="00D14D2D" w:rsidRDefault="00000000">
      <w:pPr>
        <w:pStyle w:val="TOC3"/>
        <w:tabs>
          <w:tab w:val="right" w:leader="dot" w:pos="9016"/>
        </w:tabs>
        <w:rPr>
          <w:rFonts w:eastAsiaTheme="minorEastAsia"/>
          <w:noProof/>
          <w:lang w:eastAsia="en-GB"/>
        </w:rPr>
      </w:pPr>
      <w:hyperlink w:anchor="_Toc128329998" w:history="1">
        <w:r w:rsidR="00D14D2D" w:rsidRPr="00531D9E">
          <w:rPr>
            <w:rStyle w:val="Hyperlink"/>
            <w:noProof/>
          </w:rPr>
          <w:t>6.1 Introduction</w:t>
        </w:r>
        <w:r w:rsidR="00D14D2D">
          <w:rPr>
            <w:noProof/>
            <w:webHidden/>
          </w:rPr>
          <w:tab/>
        </w:r>
        <w:r w:rsidR="00D14D2D">
          <w:rPr>
            <w:noProof/>
            <w:webHidden/>
          </w:rPr>
          <w:fldChar w:fldCharType="begin"/>
        </w:r>
        <w:r w:rsidR="00D14D2D">
          <w:rPr>
            <w:noProof/>
            <w:webHidden/>
          </w:rPr>
          <w:instrText xml:space="preserve"> PAGEREF _Toc128329998 \h </w:instrText>
        </w:r>
        <w:r w:rsidR="00D14D2D">
          <w:rPr>
            <w:noProof/>
            <w:webHidden/>
          </w:rPr>
        </w:r>
        <w:r w:rsidR="00D14D2D">
          <w:rPr>
            <w:noProof/>
            <w:webHidden/>
          </w:rPr>
          <w:fldChar w:fldCharType="separate"/>
        </w:r>
        <w:r w:rsidR="00D14D2D">
          <w:rPr>
            <w:noProof/>
            <w:webHidden/>
          </w:rPr>
          <w:t>46</w:t>
        </w:r>
        <w:r w:rsidR="00D14D2D">
          <w:rPr>
            <w:noProof/>
            <w:webHidden/>
          </w:rPr>
          <w:fldChar w:fldCharType="end"/>
        </w:r>
      </w:hyperlink>
    </w:p>
    <w:p w14:paraId="1C4FFBBF" w14:textId="7790ED0B" w:rsidR="00D14D2D" w:rsidRDefault="00000000">
      <w:pPr>
        <w:pStyle w:val="TOC3"/>
        <w:tabs>
          <w:tab w:val="right" w:leader="dot" w:pos="9016"/>
        </w:tabs>
        <w:rPr>
          <w:rFonts w:eastAsiaTheme="minorEastAsia"/>
          <w:noProof/>
          <w:lang w:eastAsia="en-GB"/>
        </w:rPr>
      </w:pPr>
      <w:hyperlink w:anchor="_Toc128329999" w:history="1">
        <w:r w:rsidR="00D14D2D" w:rsidRPr="00531D9E">
          <w:rPr>
            <w:rStyle w:val="Hyperlink"/>
            <w:noProof/>
          </w:rPr>
          <w:t>6.2 Weight maintenance where appropriate, for recipients with a failing kidney</w:t>
        </w:r>
        <w:r w:rsidR="00D14D2D">
          <w:rPr>
            <w:noProof/>
            <w:webHidden/>
          </w:rPr>
          <w:tab/>
        </w:r>
        <w:r w:rsidR="00D14D2D">
          <w:rPr>
            <w:noProof/>
            <w:webHidden/>
          </w:rPr>
          <w:fldChar w:fldCharType="begin"/>
        </w:r>
        <w:r w:rsidR="00D14D2D">
          <w:rPr>
            <w:noProof/>
            <w:webHidden/>
          </w:rPr>
          <w:instrText xml:space="preserve"> PAGEREF _Toc128329999 \h </w:instrText>
        </w:r>
        <w:r w:rsidR="00D14D2D">
          <w:rPr>
            <w:noProof/>
            <w:webHidden/>
          </w:rPr>
        </w:r>
        <w:r w:rsidR="00D14D2D">
          <w:rPr>
            <w:noProof/>
            <w:webHidden/>
          </w:rPr>
          <w:fldChar w:fldCharType="separate"/>
        </w:r>
        <w:r w:rsidR="00D14D2D">
          <w:rPr>
            <w:noProof/>
            <w:webHidden/>
          </w:rPr>
          <w:t>47</w:t>
        </w:r>
        <w:r w:rsidR="00D14D2D">
          <w:rPr>
            <w:noProof/>
            <w:webHidden/>
          </w:rPr>
          <w:fldChar w:fldCharType="end"/>
        </w:r>
      </w:hyperlink>
    </w:p>
    <w:p w14:paraId="4379956B" w14:textId="449EC0CF" w:rsidR="00D14D2D" w:rsidRDefault="00000000">
      <w:pPr>
        <w:pStyle w:val="TOC3"/>
        <w:tabs>
          <w:tab w:val="right" w:leader="dot" w:pos="9016"/>
        </w:tabs>
        <w:rPr>
          <w:rFonts w:eastAsiaTheme="minorEastAsia"/>
          <w:noProof/>
          <w:lang w:eastAsia="en-GB"/>
        </w:rPr>
      </w:pPr>
      <w:hyperlink w:anchor="_Toc128330000" w:history="1">
        <w:r w:rsidR="00D14D2D" w:rsidRPr="00531D9E">
          <w:rPr>
            <w:rStyle w:val="Hyperlink"/>
            <w:noProof/>
          </w:rPr>
          <w:t>6.3 Weight loss where appropriate, using sustainable, personalised lifestyle changes.</w:t>
        </w:r>
        <w:r w:rsidR="00D14D2D">
          <w:rPr>
            <w:noProof/>
            <w:webHidden/>
          </w:rPr>
          <w:tab/>
        </w:r>
        <w:r w:rsidR="00D14D2D">
          <w:rPr>
            <w:noProof/>
            <w:webHidden/>
          </w:rPr>
          <w:fldChar w:fldCharType="begin"/>
        </w:r>
        <w:r w:rsidR="00D14D2D">
          <w:rPr>
            <w:noProof/>
            <w:webHidden/>
          </w:rPr>
          <w:instrText xml:space="preserve"> PAGEREF _Toc128330000 \h </w:instrText>
        </w:r>
        <w:r w:rsidR="00D14D2D">
          <w:rPr>
            <w:noProof/>
            <w:webHidden/>
          </w:rPr>
        </w:r>
        <w:r w:rsidR="00D14D2D">
          <w:rPr>
            <w:noProof/>
            <w:webHidden/>
          </w:rPr>
          <w:fldChar w:fldCharType="separate"/>
        </w:r>
        <w:r w:rsidR="00D14D2D">
          <w:rPr>
            <w:noProof/>
            <w:webHidden/>
          </w:rPr>
          <w:t>47</w:t>
        </w:r>
        <w:r w:rsidR="00D14D2D">
          <w:rPr>
            <w:noProof/>
            <w:webHidden/>
          </w:rPr>
          <w:fldChar w:fldCharType="end"/>
        </w:r>
      </w:hyperlink>
    </w:p>
    <w:p w14:paraId="2A660B34" w14:textId="5BE90EDB" w:rsidR="00D14D2D" w:rsidRDefault="00000000">
      <w:pPr>
        <w:pStyle w:val="TOC3"/>
        <w:tabs>
          <w:tab w:val="right" w:leader="dot" w:pos="9016"/>
        </w:tabs>
        <w:rPr>
          <w:rFonts w:eastAsiaTheme="minorEastAsia"/>
          <w:noProof/>
          <w:lang w:eastAsia="en-GB"/>
        </w:rPr>
      </w:pPr>
      <w:hyperlink w:anchor="_Toc128330001" w:history="1">
        <w:r w:rsidR="00D14D2D" w:rsidRPr="00531D9E">
          <w:rPr>
            <w:rStyle w:val="Hyperlink"/>
            <w:noProof/>
          </w:rPr>
          <w:t>6.4 Limitation of salt intake</w:t>
        </w:r>
        <w:r w:rsidR="00D14D2D">
          <w:rPr>
            <w:noProof/>
            <w:webHidden/>
          </w:rPr>
          <w:tab/>
        </w:r>
        <w:r w:rsidR="00D14D2D">
          <w:rPr>
            <w:noProof/>
            <w:webHidden/>
          </w:rPr>
          <w:fldChar w:fldCharType="begin"/>
        </w:r>
        <w:r w:rsidR="00D14D2D">
          <w:rPr>
            <w:noProof/>
            <w:webHidden/>
          </w:rPr>
          <w:instrText xml:space="preserve"> PAGEREF _Toc128330001 \h </w:instrText>
        </w:r>
        <w:r w:rsidR="00D14D2D">
          <w:rPr>
            <w:noProof/>
            <w:webHidden/>
          </w:rPr>
        </w:r>
        <w:r w:rsidR="00D14D2D">
          <w:rPr>
            <w:noProof/>
            <w:webHidden/>
          </w:rPr>
          <w:fldChar w:fldCharType="separate"/>
        </w:r>
        <w:r w:rsidR="00D14D2D">
          <w:rPr>
            <w:noProof/>
            <w:webHidden/>
          </w:rPr>
          <w:t>48</w:t>
        </w:r>
        <w:r w:rsidR="00D14D2D">
          <w:rPr>
            <w:noProof/>
            <w:webHidden/>
          </w:rPr>
          <w:fldChar w:fldCharType="end"/>
        </w:r>
      </w:hyperlink>
    </w:p>
    <w:p w14:paraId="27C8A1DC" w14:textId="4565148A" w:rsidR="00D14D2D" w:rsidRDefault="00000000">
      <w:pPr>
        <w:pStyle w:val="TOC3"/>
        <w:tabs>
          <w:tab w:val="right" w:leader="dot" w:pos="9016"/>
        </w:tabs>
        <w:rPr>
          <w:rFonts w:eastAsiaTheme="minorEastAsia"/>
          <w:noProof/>
          <w:lang w:eastAsia="en-GB"/>
        </w:rPr>
      </w:pPr>
      <w:hyperlink w:anchor="_Toc128330002" w:history="1">
        <w:r w:rsidR="00D14D2D" w:rsidRPr="00531D9E">
          <w:rPr>
            <w:rStyle w:val="Hyperlink"/>
            <w:noProof/>
          </w:rPr>
          <w:t>6.5 Behaviour change techniques</w:t>
        </w:r>
        <w:r w:rsidR="00D14D2D">
          <w:rPr>
            <w:noProof/>
            <w:webHidden/>
          </w:rPr>
          <w:tab/>
        </w:r>
        <w:r w:rsidR="00D14D2D">
          <w:rPr>
            <w:noProof/>
            <w:webHidden/>
          </w:rPr>
          <w:fldChar w:fldCharType="begin"/>
        </w:r>
        <w:r w:rsidR="00D14D2D">
          <w:rPr>
            <w:noProof/>
            <w:webHidden/>
          </w:rPr>
          <w:instrText xml:space="preserve"> PAGEREF _Toc128330002 \h </w:instrText>
        </w:r>
        <w:r w:rsidR="00D14D2D">
          <w:rPr>
            <w:noProof/>
            <w:webHidden/>
          </w:rPr>
        </w:r>
        <w:r w:rsidR="00D14D2D">
          <w:rPr>
            <w:noProof/>
            <w:webHidden/>
          </w:rPr>
          <w:fldChar w:fldCharType="separate"/>
        </w:r>
        <w:r w:rsidR="00D14D2D">
          <w:rPr>
            <w:noProof/>
            <w:webHidden/>
          </w:rPr>
          <w:t>48</w:t>
        </w:r>
        <w:r w:rsidR="00D14D2D">
          <w:rPr>
            <w:noProof/>
            <w:webHidden/>
          </w:rPr>
          <w:fldChar w:fldCharType="end"/>
        </w:r>
      </w:hyperlink>
    </w:p>
    <w:p w14:paraId="56F631D6" w14:textId="1AB72201" w:rsidR="00D14D2D" w:rsidRDefault="00000000">
      <w:pPr>
        <w:pStyle w:val="TOC3"/>
        <w:tabs>
          <w:tab w:val="right" w:leader="dot" w:pos="9016"/>
        </w:tabs>
        <w:rPr>
          <w:rFonts w:eastAsiaTheme="minorEastAsia"/>
          <w:noProof/>
          <w:lang w:eastAsia="en-GB"/>
        </w:rPr>
      </w:pPr>
      <w:hyperlink w:anchor="_Toc128330003" w:history="1">
        <w:r w:rsidR="00D14D2D" w:rsidRPr="00531D9E">
          <w:rPr>
            <w:rStyle w:val="Hyperlink"/>
            <w:noProof/>
          </w:rPr>
          <w:t>6.6 Role of plant-based diets</w:t>
        </w:r>
        <w:r w:rsidR="00D14D2D">
          <w:rPr>
            <w:noProof/>
            <w:webHidden/>
          </w:rPr>
          <w:tab/>
        </w:r>
        <w:r w:rsidR="00D14D2D">
          <w:rPr>
            <w:noProof/>
            <w:webHidden/>
          </w:rPr>
          <w:fldChar w:fldCharType="begin"/>
        </w:r>
        <w:r w:rsidR="00D14D2D">
          <w:rPr>
            <w:noProof/>
            <w:webHidden/>
          </w:rPr>
          <w:instrText xml:space="preserve"> PAGEREF _Toc128330003 \h </w:instrText>
        </w:r>
        <w:r w:rsidR="00D14D2D">
          <w:rPr>
            <w:noProof/>
            <w:webHidden/>
          </w:rPr>
        </w:r>
        <w:r w:rsidR="00D14D2D">
          <w:rPr>
            <w:noProof/>
            <w:webHidden/>
          </w:rPr>
          <w:fldChar w:fldCharType="separate"/>
        </w:r>
        <w:r w:rsidR="00D14D2D">
          <w:rPr>
            <w:noProof/>
            <w:webHidden/>
          </w:rPr>
          <w:t>49</w:t>
        </w:r>
        <w:r w:rsidR="00D14D2D">
          <w:rPr>
            <w:noProof/>
            <w:webHidden/>
          </w:rPr>
          <w:fldChar w:fldCharType="end"/>
        </w:r>
      </w:hyperlink>
    </w:p>
    <w:p w14:paraId="3DE2D26F" w14:textId="15BE10A7" w:rsidR="00D14D2D" w:rsidRDefault="00000000">
      <w:pPr>
        <w:pStyle w:val="TOC2"/>
        <w:tabs>
          <w:tab w:val="right" w:leader="dot" w:pos="9016"/>
        </w:tabs>
        <w:rPr>
          <w:rFonts w:eastAsiaTheme="minorEastAsia"/>
          <w:noProof/>
          <w:lang w:eastAsia="en-GB"/>
        </w:rPr>
      </w:pPr>
      <w:hyperlink w:anchor="_Toc128330004" w:history="1">
        <w:r w:rsidR="00D14D2D" w:rsidRPr="00531D9E">
          <w:rPr>
            <w:rStyle w:val="Hyperlink"/>
            <w:noProof/>
          </w:rPr>
          <w:t>References</w:t>
        </w:r>
        <w:r w:rsidR="00D14D2D">
          <w:rPr>
            <w:noProof/>
            <w:webHidden/>
          </w:rPr>
          <w:tab/>
        </w:r>
        <w:r w:rsidR="00D14D2D">
          <w:rPr>
            <w:noProof/>
            <w:webHidden/>
          </w:rPr>
          <w:fldChar w:fldCharType="begin"/>
        </w:r>
        <w:r w:rsidR="00D14D2D">
          <w:rPr>
            <w:noProof/>
            <w:webHidden/>
          </w:rPr>
          <w:instrText xml:space="preserve"> PAGEREF _Toc128330004 \h </w:instrText>
        </w:r>
        <w:r w:rsidR="00D14D2D">
          <w:rPr>
            <w:noProof/>
            <w:webHidden/>
          </w:rPr>
        </w:r>
        <w:r w:rsidR="00D14D2D">
          <w:rPr>
            <w:noProof/>
            <w:webHidden/>
          </w:rPr>
          <w:fldChar w:fldCharType="separate"/>
        </w:r>
        <w:r w:rsidR="00D14D2D">
          <w:rPr>
            <w:noProof/>
            <w:webHidden/>
          </w:rPr>
          <w:t>49</w:t>
        </w:r>
        <w:r w:rsidR="00D14D2D">
          <w:rPr>
            <w:noProof/>
            <w:webHidden/>
          </w:rPr>
          <w:fldChar w:fldCharType="end"/>
        </w:r>
      </w:hyperlink>
    </w:p>
    <w:p w14:paraId="41AFB12F" w14:textId="601E68B8" w:rsidR="00D14D2D" w:rsidRDefault="00000000">
      <w:pPr>
        <w:pStyle w:val="TOC1"/>
        <w:tabs>
          <w:tab w:val="right" w:leader="dot" w:pos="9016"/>
        </w:tabs>
        <w:rPr>
          <w:rFonts w:eastAsiaTheme="minorEastAsia"/>
          <w:noProof/>
          <w:lang w:eastAsia="en-GB"/>
        </w:rPr>
      </w:pPr>
      <w:hyperlink w:anchor="_Toc128330005" w:history="1">
        <w:r w:rsidR="00D14D2D" w:rsidRPr="00531D9E">
          <w:rPr>
            <w:rStyle w:val="Hyperlink"/>
            <w:noProof/>
          </w:rPr>
          <w:t>7 CARDIOVASCULAR AND METABOLIC RISK MANAGEMENT</w:t>
        </w:r>
        <w:r w:rsidR="00D14D2D">
          <w:rPr>
            <w:noProof/>
            <w:webHidden/>
          </w:rPr>
          <w:tab/>
        </w:r>
        <w:r w:rsidR="00D14D2D">
          <w:rPr>
            <w:noProof/>
            <w:webHidden/>
          </w:rPr>
          <w:fldChar w:fldCharType="begin"/>
        </w:r>
        <w:r w:rsidR="00D14D2D">
          <w:rPr>
            <w:noProof/>
            <w:webHidden/>
          </w:rPr>
          <w:instrText xml:space="preserve"> PAGEREF _Toc128330005 \h </w:instrText>
        </w:r>
        <w:r w:rsidR="00D14D2D">
          <w:rPr>
            <w:noProof/>
            <w:webHidden/>
          </w:rPr>
        </w:r>
        <w:r w:rsidR="00D14D2D">
          <w:rPr>
            <w:noProof/>
            <w:webHidden/>
          </w:rPr>
          <w:fldChar w:fldCharType="separate"/>
        </w:r>
        <w:r w:rsidR="00D14D2D">
          <w:rPr>
            <w:noProof/>
            <w:webHidden/>
          </w:rPr>
          <w:t>52</w:t>
        </w:r>
        <w:r w:rsidR="00D14D2D">
          <w:rPr>
            <w:noProof/>
            <w:webHidden/>
          </w:rPr>
          <w:fldChar w:fldCharType="end"/>
        </w:r>
      </w:hyperlink>
    </w:p>
    <w:p w14:paraId="0C2D2F25" w14:textId="7D862B37" w:rsidR="00D14D2D" w:rsidRDefault="00000000">
      <w:pPr>
        <w:pStyle w:val="TOC2"/>
        <w:tabs>
          <w:tab w:val="right" w:leader="dot" w:pos="9016"/>
        </w:tabs>
        <w:rPr>
          <w:rFonts w:eastAsiaTheme="minorEastAsia"/>
          <w:noProof/>
          <w:lang w:eastAsia="en-GB"/>
        </w:rPr>
      </w:pPr>
      <w:hyperlink w:anchor="_Toc128330006" w:history="1">
        <w:r w:rsidR="00D14D2D" w:rsidRPr="00531D9E">
          <w:rPr>
            <w:rStyle w:val="Hyperlink"/>
            <w:rFonts w:eastAsia="Arial" w:cstheme="minorHAnsi"/>
            <w:noProof/>
          </w:rPr>
          <w:t>Statements of Recommendation</w:t>
        </w:r>
        <w:r w:rsidR="00D14D2D">
          <w:rPr>
            <w:noProof/>
            <w:webHidden/>
          </w:rPr>
          <w:tab/>
        </w:r>
        <w:r w:rsidR="00D14D2D">
          <w:rPr>
            <w:noProof/>
            <w:webHidden/>
          </w:rPr>
          <w:fldChar w:fldCharType="begin"/>
        </w:r>
        <w:r w:rsidR="00D14D2D">
          <w:rPr>
            <w:noProof/>
            <w:webHidden/>
          </w:rPr>
          <w:instrText xml:space="preserve"> PAGEREF _Toc128330006 \h </w:instrText>
        </w:r>
        <w:r w:rsidR="00D14D2D">
          <w:rPr>
            <w:noProof/>
            <w:webHidden/>
          </w:rPr>
        </w:r>
        <w:r w:rsidR="00D14D2D">
          <w:rPr>
            <w:noProof/>
            <w:webHidden/>
          </w:rPr>
          <w:fldChar w:fldCharType="separate"/>
        </w:r>
        <w:r w:rsidR="00D14D2D">
          <w:rPr>
            <w:noProof/>
            <w:webHidden/>
          </w:rPr>
          <w:t>52</w:t>
        </w:r>
        <w:r w:rsidR="00D14D2D">
          <w:rPr>
            <w:noProof/>
            <w:webHidden/>
          </w:rPr>
          <w:fldChar w:fldCharType="end"/>
        </w:r>
      </w:hyperlink>
    </w:p>
    <w:p w14:paraId="3C765477" w14:textId="120C942C" w:rsidR="00D14D2D" w:rsidRDefault="00000000">
      <w:pPr>
        <w:pStyle w:val="TOC2"/>
        <w:tabs>
          <w:tab w:val="right" w:leader="dot" w:pos="9016"/>
        </w:tabs>
        <w:rPr>
          <w:rFonts w:eastAsiaTheme="minorEastAsia"/>
          <w:noProof/>
          <w:lang w:eastAsia="en-GB"/>
        </w:rPr>
      </w:pPr>
      <w:hyperlink w:anchor="_Toc128330007" w:history="1">
        <w:r w:rsidR="00D14D2D" w:rsidRPr="00531D9E">
          <w:rPr>
            <w:rStyle w:val="Hyperlink"/>
            <w:rFonts w:cstheme="minorHAnsi"/>
            <w:noProof/>
          </w:rPr>
          <w:t>Rationale</w:t>
        </w:r>
        <w:r w:rsidR="00D14D2D">
          <w:rPr>
            <w:noProof/>
            <w:webHidden/>
          </w:rPr>
          <w:tab/>
        </w:r>
        <w:r w:rsidR="00D14D2D">
          <w:rPr>
            <w:noProof/>
            <w:webHidden/>
          </w:rPr>
          <w:fldChar w:fldCharType="begin"/>
        </w:r>
        <w:r w:rsidR="00D14D2D">
          <w:rPr>
            <w:noProof/>
            <w:webHidden/>
          </w:rPr>
          <w:instrText xml:space="preserve"> PAGEREF _Toc128330007 \h </w:instrText>
        </w:r>
        <w:r w:rsidR="00D14D2D">
          <w:rPr>
            <w:noProof/>
            <w:webHidden/>
          </w:rPr>
        </w:r>
        <w:r w:rsidR="00D14D2D">
          <w:rPr>
            <w:noProof/>
            <w:webHidden/>
          </w:rPr>
          <w:fldChar w:fldCharType="separate"/>
        </w:r>
        <w:r w:rsidR="00D14D2D">
          <w:rPr>
            <w:noProof/>
            <w:webHidden/>
          </w:rPr>
          <w:t>53</w:t>
        </w:r>
        <w:r w:rsidR="00D14D2D">
          <w:rPr>
            <w:noProof/>
            <w:webHidden/>
          </w:rPr>
          <w:fldChar w:fldCharType="end"/>
        </w:r>
      </w:hyperlink>
    </w:p>
    <w:p w14:paraId="229331A6" w14:textId="1D043E29" w:rsidR="00D14D2D" w:rsidRDefault="00000000">
      <w:pPr>
        <w:pStyle w:val="TOC3"/>
        <w:tabs>
          <w:tab w:val="right" w:leader="dot" w:pos="9016"/>
        </w:tabs>
        <w:rPr>
          <w:rFonts w:eastAsiaTheme="minorEastAsia"/>
          <w:noProof/>
          <w:lang w:eastAsia="en-GB"/>
        </w:rPr>
      </w:pPr>
      <w:hyperlink w:anchor="_Toc128330008" w:history="1">
        <w:r w:rsidR="00D14D2D" w:rsidRPr="00531D9E">
          <w:rPr>
            <w:rStyle w:val="Hyperlink"/>
            <w:rFonts w:cstheme="minorHAnsi"/>
            <w:noProof/>
          </w:rPr>
          <w:t>7.1 Introduction</w:t>
        </w:r>
        <w:r w:rsidR="00D14D2D">
          <w:rPr>
            <w:noProof/>
            <w:webHidden/>
          </w:rPr>
          <w:tab/>
        </w:r>
        <w:r w:rsidR="00D14D2D">
          <w:rPr>
            <w:noProof/>
            <w:webHidden/>
          </w:rPr>
          <w:fldChar w:fldCharType="begin"/>
        </w:r>
        <w:r w:rsidR="00D14D2D">
          <w:rPr>
            <w:noProof/>
            <w:webHidden/>
          </w:rPr>
          <w:instrText xml:space="preserve"> PAGEREF _Toc128330008 \h </w:instrText>
        </w:r>
        <w:r w:rsidR="00D14D2D">
          <w:rPr>
            <w:noProof/>
            <w:webHidden/>
          </w:rPr>
        </w:r>
        <w:r w:rsidR="00D14D2D">
          <w:rPr>
            <w:noProof/>
            <w:webHidden/>
          </w:rPr>
          <w:fldChar w:fldCharType="separate"/>
        </w:r>
        <w:r w:rsidR="00D14D2D">
          <w:rPr>
            <w:noProof/>
            <w:webHidden/>
          </w:rPr>
          <w:t>53</w:t>
        </w:r>
        <w:r w:rsidR="00D14D2D">
          <w:rPr>
            <w:noProof/>
            <w:webHidden/>
          </w:rPr>
          <w:fldChar w:fldCharType="end"/>
        </w:r>
      </w:hyperlink>
    </w:p>
    <w:p w14:paraId="03E46DAC" w14:textId="6F8F498D" w:rsidR="00D14D2D" w:rsidRDefault="00000000">
      <w:pPr>
        <w:pStyle w:val="TOC3"/>
        <w:tabs>
          <w:tab w:val="right" w:leader="dot" w:pos="9016"/>
        </w:tabs>
        <w:rPr>
          <w:rFonts w:eastAsiaTheme="minorEastAsia"/>
          <w:noProof/>
          <w:lang w:eastAsia="en-GB"/>
        </w:rPr>
      </w:pPr>
      <w:hyperlink w:anchor="_Toc128330009" w:history="1">
        <w:r w:rsidR="00D14D2D" w:rsidRPr="00531D9E">
          <w:rPr>
            <w:rStyle w:val="Hyperlink"/>
            <w:noProof/>
          </w:rPr>
          <w:t>7.2 Diagnosis of Hypertension Post-Transplantation</w:t>
        </w:r>
        <w:r w:rsidR="00D14D2D">
          <w:rPr>
            <w:noProof/>
            <w:webHidden/>
          </w:rPr>
          <w:tab/>
        </w:r>
        <w:r w:rsidR="00D14D2D">
          <w:rPr>
            <w:noProof/>
            <w:webHidden/>
          </w:rPr>
          <w:fldChar w:fldCharType="begin"/>
        </w:r>
        <w:r w:rsidR="00D14D2D">
          <w:rPr>
            <w:noProof/>
            <w:webHidden/>
          </w:rPr>
          <w:instrText xml:space="preserve"> PAGEREF _Toc128330009 \h </w:instrText>
        </w:r>
        <w:r w:rsidR="00D14D2D">
          <w:rPr>
            <w:noProof/>
            <w:webHidden/>
          </w:rPr>
        </w:r>
        <w:r w:rsidR="00D14D2D">
          <w:rPr>
            <w:noProof/>
            <w:webHidden/>
          </w:rPr>
          <w:fldChar w:fldCharType="separate"/>
        </w:r>
        <w:r w:rsidR="00D14D2D">
          <w:rPr>
            <w:noProof/>
            <w:webHidden/>
          </w:rPr>
          <w:t>53</w:t>
        </w:r>
        <w:r w:rsidR="00D14D2D">
          <w:rPr>
            <w:noProof/>
            <w:webHidden/>
          </w:rPr>
          <w:fldChar w:fldCharType="end"/>
        </w:r>
      </w:hyperlink>
    </w:p>
    <w:p w14:paraId="6D501415" w14:textId="6EDC7571" w:rsidR="00D14D2D" w:rsidRDefault="00000000">
      <w:pPr>
        <w:pStyle w:val="TOC3"/>
        <w:tabs>
          <w:tab w:val="right" w:leader="dot" w:pos="9016"/>
        </w:tabs>
        <w:rPr>
          <w:rFonts w:eastAsiaTheme="minorEastAsia"/>
          <w:noProof/>
          <w:lang w:eastAsia="en-GB"/>
        </w:rPr>
      </w:pPr>
      <w:hyperlink w:anchor="_Toc128330010" w:history="1">
        <w:r w:rsidR="00D14D2D" w:rsidRPr="00531D9E">
          <w:rPr>
            <w:rStyle w:val="Hyperlink"/>
            <w:noProof/>
          </w:rPr>
          <w:t>7.3 Target Blood Pressure</w:t>
        </w:r>
        <w:r w:rsidR="00D14D2D">
          <w:rPr>
            <w:noProof/>
            <w:webHidden/>
          </w:rPr>
          <w:tab/>
        </w:r>
        <w:r w:rsidR="00D14D2D">
          <w:rPr>
            <w:noProof/>
            <w:webHidden/>
          </w:rPr>
          <w:fldChar w:fldCharType="begin"/>
        </w:r>
        <w:r w:rsidR="00D14D2D">
          <w:rPr>
            <w:noProof/>
            <w:webHidden/>
          </w:rPr>
          <w:instrText xml:space="preserve"> PAGEREF _Toc128330010 \h </w:instrText>
        </w:r>
        <w:r w:rsidR="00D14D2D">
          <w:rPr>
            <w:noProof/>
            <w:webHidden/>
          </w:rPr>
        </w:r>
        <w:r w:rsidR="00D14D2D">
          <w:rPr>
            <w:noProof/>
            <w:webHidden/>
          </w:rPr>
          <w:fldChar w:fldCharType="separate"/>
        </w:r>
        <w:r w:rsidR="00D14D2D">
          <w:rPr>
            <w:noProof/>
            <w:webHidden/>
          </w:rPr>
          <w:t>53</w:t>
        </w:r>
        <w:r w:rsidR="00D14D2D">
          <w:rPr>
            <w:noProof/>
            <w:webHidden/>
          </w:rPr>
          <w:fldChar w:fldCharType="end"/>
        </w:r>
      </w:hyperlink>
    </w:p>
    <w:p w14:paraId="341F571A" w14:textId="2C08B45F" w:rsidR="00D14D2D" w:rsidRDefault="00000000">
      <w:pPr>
        <w:pStyle w:val="TOC3"/>
        <w:tabs>
          <w:tab w:val="right" w:leader="dot" w:pos="9016"/>
        </w:tabs>
        <w:rPr>
          <w:rFonts w:eastAsiaTheme="minorEastAsia"/>
          <w:noProof/>
          <w:lang w:eastAsia="en-GB"/>
        </w:rPr>
      </w:pPr>
      <w:hyperlink w:anchor="_Toc128330011" w:history="1">
        <w:r w:rsidR="00D14D2D" w:rsidRPr="00531D9E">
          <w:rPr>
            <w:rStyle w:val="Hyperlink"/>
            <w:noProof/>
          </w:rPr>
          <w:t>7.4 Pharmacotherapy</w:t>
        </w:r>
        <w:r w:rsidR="00D14D2D">
          <w:rPr>
            <w:noProof/>
            <w:webHidden/>
          </w:rPr>
          <w:tab/>
        </w:r>
        <w:r w:rsidR="00D14D2D">
          <w:rPr>
            <w:noProof/>
            <w:webHidden/>
          </w:rPr>
          <w:fldChar w:fldCharType="begin"/>
        </w:r>
        <w:r w:rsidR="00D14D2D">
          <w:rPr>
            <w:noProof/>
            <w:webHidden/>
          </w:rPr>
          <w:instrText xml:space="preserve"> PAGEREF _Toc128330011 \h </w:instrText>
        </w:r>
        <w:r w:rsidR="00D14D2D">
          <w:rPr>
            <w:noProof/>
            <w:webHidden/>
          </w:rPr>
        </w:r>
        <w:r w:rsidR="00D14D2D">
          <w:rPr>
            <w:noProof/>
            <w:webHidden/>
          </w:rPr>
          <w:fldChar w:fldCharType="separate"/>
        </w:r>
        <w:r w:rsidR="00D14D2D">
          <w:rPr>
            <w:noProof/>
            <w:webHidden/>
          </w:rPr>
          <w:t>54</w:t>
        </w:r>
        <w:r w:rsidR="00D14D2D">
          <w:rPr>
            <w:noProof/>
            <w:webHidden/>
          </w:rPr>
          <w:fldChar w:fldCharType="end"/>
        </w:r>
      </w:hyperlink>
    </w:p>
    <w:p w14:paraId="315D4275" w14:textId="5AD4C077" w:rsidR="00D14D2D" w:rsidRDefault="00000000">
      <w:pPr>
        <w:pStyle w:val="TOC3"/>
        <w:tabs>
          <w:tab w:val="right" w:leader="dot" w:pos="9016"/>
        </w:tabs>
        <w:rPr>
          <w:rFonts w:eastAsiaTheme="minorEastAsia"/>
          <w:noProof/>
          <w:lang w:eastAsia="en-GB"/>
        </w:rPr>
      </w:pPr>
      <w:hyperlink w:anchor="_Toc128330012" w:history="1">
        <w:r w:rsidR="00D14D2D" w:rsidRPr="00531D9E">
          <w:rPr>
            <w:rStyle w:val="Hyperlink"/>
            <w:noProof/>
          </w:rPr>
          <w:t>7.5 Management of Hyperlipidaemia and Hyperglycaemia (Including Post-Transplant Diabetes) in Renal Transplant Recipients</w:t>
        </w:r>
        <w:r w:rsidR="00D14D2D">
          <w:rPr>
            <w:noProof/>
            <w:webHidden/>
          </w:rPr>
          <w:tab/>
        </w:r>
        <w:r w:rsidR="00D14D2D">
          <w:rPr>
            <w:noProof/>
            <w:webHidden/>
          </w:rPr>
          <w:fldChar w:fldCharType="begin"/>
        </w:r>
        <w:r w:rsidR="00D14D2D">
          <w:rPr>
            <w:noProof/>
            <w:webHidden/>
          </w:rPr>
          <w:instrText xml:space="preserve"> PAGEREF _Toc128330012 \h </w:instrText>
        </w:r>
        <w:r w:rsidR="00D14D2D">
          <w:rPr>
            <w:noProof/>
            <w:webHidden/>
          </w:rPr>
        </w:r>
        <w:r w:rsidR="00D14D2D">
          <w:rPr>
            <w:noProof/>
            <w:webHidden/>
          </w:rPr>
          <w:fldChar w:fldCharType="separate"/>
        </w:r>
        <w:r w:rsidR="00D14D2D">
          <w:rPr>
            <w:noProof/>
            <w:webHidden/>
          </w:rPr>
          <w:t>55</w:t>
        </w:r>
        <w:r w:rsidR="00D14D2D">
          <w:rPr>
            <w:noProof/>
            <w:webHidden/>
          </w:rPr>
          <w:fldChar w:fldCharType="end"/>
        </w:r>
      </w:hyperlink>
    </w:p>
    <w:p w14:paraId="61CB5D51" w14:textId="4D0BBBA8" w:rsidR="00D14D2D" w:rsidRDefault="00000000">
      <w:pPr>
        <w:pStyle w:val="TOC2"/>
        <w:tabs>
          <w:tab w:val="right" w:leader="dot" w:pos="9016"/>
        </w:tabs>
        <w:rPr>
          <w:rFonts w:eastAsiaTheme="minorEastAsia"/>
          <w:noProof/>
          <w:lang w:eastAsia="en-GB"/>
        </w:rPr>
      </w:pPr>
      <w:hyperlink w:anchor="_Toc128330013" w:history="1">
        <w:r w:rsidR="00D14D2D" w:rsidRPr="00531D9E">
          <w:rPr>
            <w:rStyle w:val="Hyperlink"/>
            <w:noProof/>
          </w:rPr>
          <w:t>References</w:t>
        </w:r>
        <w:r w:rsidR="00D14D2D">
          <w:rPr>
            <w:noProof/>
            <w:webHidden/>
          </w:rPr>
          <w:tab/>
        </w:r>
        <w:r w:rsidR="00D14D2D">
          <w:rPr>
            <w:noProof/>
            <w:webHidden/>
          </w:rPr>
          <w:fldChar w:fldCharType="begin"/>
        </w:r>
        <w:r w:rsidR="00D14D2D">
          <w:rPr>
            <w:noProof/>
            <w:webHidden/>
          </w:rPr>
          <w:instrText xml:space="preserve"> PAGEREF _Toc128330013 \h </w:instrText>
        </w:r>
        <w:r w:rsidR="00D14D2D">
          <w:rPr>
            <w:noProof/>
            <w:webHidden/>
          </w:rPr>
        </w:r>
        <w:r w:rsidR="00D14D2D">
          <w:rPr>
            <w:noProof/>
            <w:webHidden/>
          </w:rPr>
          <w:fldChar w:fldCharType="separate"/>
        </w:r>
        <w:r w:rsidR="00D14D2D">
          <w:rPr>
            <w:noProof/>
            <w:webHidden/>
          </w:rPr>
          <w:t>56</w:t>
        </w:r>
        <w:r w:rsidR="00D14D2D">
          <w:rPr>
            <w:noProof/>
            <w:webHidden/>
          </w:rPr>
          <w:fldChar w:fldCharType="end"/>
        </w:r>
      </w:hyperlink>
    </w:p>
    <w:p w14:paraId="51C7CBF5" w14:textId="349CFD1F" w:rsidR="00D14D2D" w:rsidRDefault="00000000">
      <w:pPr>
        <w:pStyle w:val="TOC1"/>
        <w:tabs>
          <w:tab w:val="right" w:leader="dot" w:pos="9016"/>
        </w:tabs>
        <w:rPr>
          <w:rFonts w:eastAsiaTheme="minorEastAsia"/>
          <w:noProof/>
          <w:lang w:eastAsia="en-GB"/>
        </w:rPr>
      </w:pPr>
      <w:hyperlink w:anchor="_Toc128330014" w:history="1">
        <w:r w:rsidR="00D14D2D" w:rsidRPr="00531D9E">
          <w:rPr>
            <w:rStyle w:val="Hyperlink"/>
            <w:noProof/>
          </w:rPr>
          <w:t>8 COMPLICATIONS OF CHRONIC KIDNEY DISEASE</w:t>
        </w:r>
        <w:r w:rsidR="00D14D2D">
          <w:rPr>
            <w:noProof/>
            <w:webHidden/>
          </w:rPr>
          <w:tab/>
        </w:r>
        <w:r w:rsidR="00D14D2D">
          <w:rPr>
            <w:noProof/>
            <w:webHidden/>
          </w:rPr>
          <w:fldChar w:fldCharType="begin"/>
        </w:r>
        <w:r w:rsidR="00D14D2D">
          <w:rPr>
            <w:noProof/>
            <w:webHidden/>
          </w:rPr>
          <w:instrText xml:space="preserve"> PAGEREF _Toc128330014 \h </w:instrText>
        </w:r>
        <w:r w:rsidR="00D14D2D">
          <w:rPr>
            <w:noProof/>
            <w:webHidden/>
          </w:rPr>
        </w:r>
        <w:r w:rsidR="00D14D2D">
          <w:rPr>
            <w:noProof/>
            <w:webHidden/>
          </w:rPr>
          <w:fldChar w:fldCharType="separate"/>
        </w:r>
        <w:r w:rsidR="00D14D2D">
          <w:rPr>
            <w:noProof/>
            <w:webHidden/>
          </w:rPr>
          <w:t>59</w:t>
        </w:r>
        <w:r w:rsidR="00D14D2D">
          <w:rPr>
            <w:noProof/>
            <w:webHidden/>
          </w:rPr>
          <w:fldChar w:fldCharType="end"/>
        </w:r>
      </w:hyperlink>
    </w:p>
    <w:p w14:paraId="78E8668B" w14:textId="46A62405" w:rsidR="00D14D2D" w:rsidRDefault="00000000">
      <w:pPr>
        <w:pStyle w:val="TOC2"/>
        <w:tabs>
          <w:tab w:val="right" w:leader="dot" w:pos="9016"/>
        </w:tabs>
        <w:rPr>
          <w:rFonts w:eastAsiaTheme="minorEastAsia"/>
          <w:noProof/>
          <w:lang w:eastAsia="en-GB"/>
        </w:rPr>
      </w:pPr>
      <w:hyperlink w:anchor="_Toc128330015" w:history="1">
        <w:r w:rsidR="00D14D2D" w:rsidRPr="00531D9E">
          <w:rPr>
            <w:rStyle w:val="Hyperlink"/>
            <w:rFonts w:eastAsia="Arial" w:cstheme="minorHAnsi"/>
            <w:noProof/>
          </w:rPr>
          <w:t>Statements of Recommendation</w:t>
        </w:r>
        <w:r w:rsidR="00D14D2D">
          <w:rPr>
            <w:noProof/>
            <w:webHidden/>
          </w:rPr>
          <w:tab/>
        </w:r>
        <w:r w:rsidR="00D14D2D">
          <w:rPr>
            <w:noProof/>
            <w:webHidden/>
          </w:rPr>
          <w:fldChar w:fldCharType="begin"/>
        </w:r>
        <w:r w:rsidR="00D14D2D">
          <w:rPr>
            <w:noProof/>
            <w:webHidden/>
          </w:rPr>
          <w:instrText xml:space="preserve"> PAGEREF _Toc128330015 \h </w:instrText>
        </w:r>
        <w:r w:rsidR="00D14D2D">
          <w:rPr>
            <w:noProof/>
            <w:webHidden/>
          </w:rPr>
        </w:r>
        <w:r w:rsidR="00D14D2D">
          <w:rPr>
            <w:noProof/>
            <w:webHidden/>
          </w:rPr>
          <w:fldChar w:fldCharType="separate"/>
        </w:r>
        <w:r w:rsidR="00D14D2D">
          <w:rPr>
            <w:noProof/>
            <w:webHidden/>
          </w:rPr>
          <w:t>59</w:t>
        </w:r>
        <w:r w:rsidR="00D14D2D">
          <w:rPr>
            <w:noProof/>
            <w:webHidden/>
          </w:rPr>
          <w:fldChar w:fldCharType="end"/>
        </w:r>
      </w:hyperlink>
    </w:p>
    <w:p w14:paraId="06B2DBF5" w14:textId="56EC5CC9" w:rsidR="00D14D2D" w:rsidRDefault="00000000">
      <w:pPr>
        <w:pStyle w:val="TOC2"/>
        <w:tabs>
          <w:tab w:val="right" w:leader="dot" w:pos="9016"/>
        </w:tabs>
        <w:rPr>
          <w:rFonts w:eastAsiaTheme="minorEastAsia"/>
          <w:noProof/>
          <w:lang w:eastAsia="en-GB"/>
        </w:rPr>
      </w:pPr>
      <w:hyperlink w:anchor="_Toc128330016" w:history="1">
        <w:r w:rsidR="00D14D2D" w:rsidRPr="00531D9E">
          <w:rPr>
            <w:rStyle w:val="Hyperlink"/>
            <w:rFonts w:cstheme="minorHAnsi"/>
            <w:noProof/>
          </w:rPr>
          <w:t>Rationale</w:t>
        </w:r>
        <w:r w:rsidR="00D14D2D">
          <w:rPr>
            <w:noProof/>
            <w:webHidden/>
          </w:rPr>
          <w:tab/>
        </w:r>
        <w:r w:rsidR="00D14D2D">
          <w:rPr>
            <w:noProof/>
            <w:webHidden/>
          </w:rPr>
          <w:fldChar w:fldCharType="begin"/>
        </w:r>
        <w:r w:rsidR="00D14D2D">
          <w:rPr>
            <w:noProof/>
            <w:webHidden/>
          </w:rPr>
          <w:instrText xml:space="preserve"> PAGEREF _Toc128330016 \h </w:instrText>
        </w:r>
        <w:r w:rsidR="00D14D2D">
          <w:rPr>
            <w:noProof/>
            <w:webHidden/>
          </w:rPr>
        </w:r>
        <w:r w:rsidR="00D14D2D">
          <w:rPr>
            <w:noProof/>
            <w:webHidden/>
          </w:rPr>
          <w:fldChar w:fldCharType="separate"/>
        </w:r>
        <w:r w:rsidR="00D14D2D">
          <w:rPr>
            <w:noProof/>
            <w:webHidden/>
          </w:rPr>
          <w:t>59</w:t>
        </w:r>
        <w:r w:rsidR="00D14D2D">
          <w:rPr>
            <w:noProof/>
            <w:webHidden/>
          </w:rPr>
          <w:fldChar w:fldCharType="end"/>
        </w:r>
      </w:hyperlink>
    </w:p>
    <w:p w14:paraId="16AD0A6B" w14:textId="1695BC35" w:rsidR="00D14D2D" w:rsidRDefault="00000000">
      <w:pPr>
        <w:pStyle w:val="TOC3"/>
        <w:tabs>
          <w:tab w:val="right" w:leader="dot" w:pos="9016"/>
        </w:tabs>
        <w:rPr>
          <w:rFonts w:eastAsiaTheme="minorEastAsia"/>
          <w:noProof/>
          <w:lang w:eastAsia="en-GB"/>
        </w:rPr>
      </w:pPr>
      <w:hyperlink w:anchor="_Toc128330017" w:history="1">
        <w:r w:rsidR="00D14D2D" w:rsidRPr="00531D9E">
          <w:rPr>
            <w:rStyle w:val="Hyperlink"/>
            <w:rFonts w:cstheme="minorHAnsi"/>
            <w:noProof/>
          </w:rPr>
          <w:t>8.1 Introduction</w:t>
        </w:r>
        <w:r w:rsidR="00D14D2D">
          <w:rPr>
            <w:noProof/>
            <w:webHidden/>
          </w:rPr>
          <w:tab/>
        </w:r>
        <w:r w:rsidR="00D14D2D">
          <w:rPr>
            <w:noProof/>
            <w:webHidden/>
          </w:rPr>
          <w:fldChar w:fldCharType="begin"/>
        </w:r>
        <w:r w:rsidR="00D14D2D">
          <w:rPr>
            <w:noProof/>
            <w:webHidden/>
          </w:rPr>
          <w:instrText xml:space="preserve"> PAGEREF _Toc128330017 \h </w:instrText>
        </w:r>
        <w:r w:rsidR="00D14D2D">
          <w:rPr>
            <w:noProof/>
            <w:webHidden/>
          </w:rPr>
        </w:r>
        <w:r w:rsidR="00D14D2D">
          <w:rPr>
            <w:noProof/>
            <w:webHidden/>
          </w:rPr>
          <w:fldChar w:fldCharType="separate"/>
        </w:r>
        <w:r w:rsidR="00D14D2D">
          <w:rPr>
            <w:noProof/>
            <w:webHidden/>
          </w:rPr>
          <w:t>59</w:t>
        </w:r>
        <w:r w:rsidR="00D14D2D">
          <w:rPr>
            <w:noProof/>
            <w:webHidden/>
          </w:rPr>
          <w:fldChar w:fldCharType="end"/>
        </w:r>
      </w:hyperlink>
    </w:p>
    <w:p w14:paraId="07755822" w14:textId="3A9D5EA2" w:rsidR="00D14D2D" w:rsidRDefault="00000000">
      <w:pPr>
        <w:pStyle w:val="TOC3"/>
        <w:tabs>
          <w:tab w:val="right" w:leader="dot" w:pos="9016"/>
        </w:tabs>
        <w:rPr>
          <w:rFonts w:eastAsiaTheme="minorEastAsia"/>
          <w:noProof/>
          <w:lang w:eastAsia="en-GB"/>
        </w:rPr>
      </w:pPr>
      <w:hyperlink w:anchor="_Toc128330018" w:history="1">
        <w:r w:rsidR="00D14D2D" w:rsidRPr="00531D9E">
          <w:rPr>
            <w:rStyle w:val="Hyperlink"/>
            <w:noProof/>
          </w:rPr>
          <w:t>8.2 Anaemia</w:t>
        </w:r>
        <w:r w:rsidR="00D14D2D">
          <w:rPr>
            <w:noProof/>
            <w:webHidden/>
          </w:rPr>
          <w:tab/>
        </w:r>
        <w:r w:rsidR="00D14D2D">
          <w:rPr>
            <w:noProof/>
            <w:webHidden/>
          </w:rPr>
          <w:fldChar w:fldCharType="begin"/>
        </w:r>
        <w:r w:rsidR="00D14D2D">
          <w:rPr>
            <w:noProof/>
            <w:webHidden/>
          </w:rPr>
          <w:instrText xml:space="preserve"> PAGEREF _Toc128330018 \h </w:instrText>
        </w:r>
        <w:r w:rsidR="00D14D2D">
          <w:rPr>
            <w:noProof/>
            <w:webHidden/>
          </w:rPr>
        </w:r>
        <w:r w:rsidR="00D14D2D">
          <w:rPr>
            <w:noProof/>
            <w:webHidden/>
          </w:rPr>
          <w:fldChar w:fldCharType="separate"/>
        </w:r>
        <w:r w:rsidR="00D14D2D">
          <w:rPr>
            <w:noProof/>
            <w:webHidden/>
          </w:rPr>
          <w:t>59</w:t>
        </w:r>
        <w:r w:rsidR="00D14D2D">
          <w:rPr>
            <w:noProof/>
            <w:webHidden/>
          </w:rPr>
          <w:fldChar w:fldCharType="end"/>
        </w:r>
      </w:hyperlink>
    </w:p>
    <w:p w14:paraId="3BC2B8BD" w14:textId="59C50565" w:rsidR="00D14D2D" w:rsidRDefault="00000000">
      <w:pPr>
        <w:pStyle w:val="TOC4"/>
        <w:tabs>
          <w:tab w:val="left" w:pos="1540"/>
          <w:tab w:val="right" w:leader="dot" w:pos="9016"/>
        </w:tabs>
        <w:rPr>
          <w:rFonts w:eastAsiaTheme="minorEastAsia"/>
          <w:noProof/>
          <w:lang w:eastAsia="en-GB"/>
        </w:rPr>
      </w:pPr>
      <w:hyperlink w:anchor="_Toc128330019" w:history="1">
        <w:r w:rsidR="00D14D2D" w:rsidRPr="00531D9E">
          <w:rPr>
            <w:rStyle w:val="Hyperlink"/>
            <w:noProof/>
          </w:rPr>
          <w:t xml:space="preserve">8.2.1 </w:t>
        </w:r>
        <w:r w:rsidR="00D14D2D">
          <w:rPr>
            <w:rFonts w:eastAsiaTheme="minorEastAsia"/>
            <w:noProof/>
            <w:lang w:eastAsia="en-GB"/>
          </w:rPr>
          <w:tab/>
        </w:r>
        <w:r w:rsidR="00D14D2D" w:rsidRPr="00531D9E">
          <w:rPr>
            <w:rStyle w:val="Hyperlink"/>
            <w:noProof/>
          </w:rPr>
          <w:t>Monitoring</w:t>
        </w:r>
        <w:r w:rsidR="00D14D2D">
          <w:rPr>
            <w:noProof/>
            <w:webHidden/>
          </w:rPr>
          <w:tab/>
        </w:r>
        <w:r w:rsidR="00D14D2D">
          <w:rPr>
            <w:noProof/>
            <w:webHidden/>
          </w:rPr>
          <w:fldChar w:fldCharType="begin"/>
        </w:r>
        <w:r w:rsidR="00D14D2D">
          <w:rPr>
            <w:noProof/>
            <w:webHidden/>
          </w:rPr>
          <w:instrText xml:space="preserve"> PAGEREF _Toc128330019 \h </w:instrText>
        </w:r>
        <w:r w:rsidR="00D14D2D">
          <w:rPr>
            <w:noProof/>
            <w:webHidden/>
          </w:rPr>
        </w:r>
        <w:r w:rsidR="00D14D2D">
          <w:rPr>
            <w:noProof/>
            <w:webHidden/>
          </w:rPr>
          <w:fldChar w:fldCharType="separate"/>
        </w:r>
        <w:r w:rsidR="00D14D2D">
          <w:rPr>
            <w:noProof/>
            <w:webHidden/>
          </w:rPr>
          <w:t>60</w:t>
        </w:r>
        <w:r w:rsidR="00D14D2D">
          <w:rPr>
            <w:noProof/>
            <w:webHidden/>
          </w:rPr>
          <w:fldChar w:fldCharType="end"/>
        </w:r>
      </w:hyperlink>
    </w:p>
    <w:p w14:paraId="383600D4" w14:textId="798ECC81" w:rsidR="00D14D2D" w:rsidRDefault="00000000">
      <w:pPr>
        <w:pStyle w:val="TOC4"/>
        <w:tabs>
          <w:tab w:val="left" w:pos="1540"/>
          <w:tab w:val="right" w:leader="dot" w:pos="9016"/>
        </w:tabs>
        <w:rPr>
          <w:rFonts w:eastAsiaTheme="minorEastAsia"/>
          <w:noProof/>
          <w:lang w:eastAsia="en-GB"/>
        </w:rPr>
      </w:pPr>
      <w:hyperlink w:anchor="_Toc128330020" w:history="1">
        <w:r w:rsidR="00D14D2D" w:rsidRPr="00531D9E">
          <w:rPr>
            <w:rStyle w:val="Hyperlink"/>
            <w:noProof/>
          </w:rPr>
          <w:t xml:space="preserve">8.2.2 </w:t>
        </w:r>
        <w:r w:rsidR="00D14D2D">
          <w:rPr>
            <w:rFonts w:eastAsiaTheme="minorEastAsia"/>
            <w:noProof/>
            <w:lang w:eastAsia="en-GB"/>
          </w:rPr>
          <w:tab/>
        </w:r>
        <w:r w:rsidR="00D14D2D" w:rsidRPr="00531D9E">
          <w:rPr>
            <w:rStyle w:val="Hyperlink"/>
            <w:noProof/>
          </w:rPr>
          <w:t>General Approach to Management</w:t>
        </w:r>
        <w:r w:rsidR="00D14D2D">
          <w:rPr>
            <w:noProof/>
            <w:webHidden/>
          </w:rPr>
          <w:tab/>
        </w:r>
        <w:r w:rsidR="00D14D2D">
          <w:rPr>
            <w:noProof/>
            <w:webHidden/>
          </w:rPr>
          <w:fldChar w:fldCharType="begin"/>
        </w:r>
        <w:r w:rsidR="00D14D2D">
          <w:rPr>
            <w:noProof/>
            <w:webHidden/>
          </w:rPr>
          <w:instrText xml:space="preserve"> PAGEREF _Toc128330020 \h </w:instrText>
        </w:r>
        <w:r w:rsidR="00D14D2D">
          <w:rPr>
            <w:noProof/>
            <w:webHidden/>
          </w:rPr>
        </w:r>
        <w:r w:rsidR="00D14D2D">
          <w:rPr>
            <w:noProof/>
            <w:webHidden/>
          </w:rPr>
          <w:fldChar w:fldCharType="separate"/>
        </w:r>
        <w:r w:rsidR="00D14D2D">
          <w:rPr>
            <w:noProof/>
            <w:webHidden/>
          </w:rPr>
          <w:t>60</w:t>
        </w:r>
        <w:r w:rsidR="00D14D2D">
          <w:rPr>
            <w:noProof/>
            <w:webHidden/>
          </w:rPr>
          <w:fldChar w:fldCharType="end"/>
        </w:r>
      </w:hyperlink>
    </w:p>
    <w:p w14:paraId="0ACA9A83" w14:textId="29CFF9A6" w:rsidR="00D14D2D" w:rsidRDefault="00000000">
      <w:pPr>
        <w:pStyle w:val="TOC4"/>
        <w:tabs>
          <w:tab w:val="left" w:pos="1540"/>
          <w:tab w:val="right" w:leader="dot" w:pos="9016"/>
        </w:tabs>
        <w:rPr>
          <w:rFonts w:eastAsiaTheme="minorEastAsia"/>
          <w:noProof/>
          <w:lang w:eastAsia="en-GB"/>
        </w:rPr>
      </w:pPr>
      <w:hyperlink w:anchor="_Toc128330021" w:history="1">
        <w:r w:rsidR="00D14D2D" w:rsidRPr="00531D9E">
          <w:rPr>
            <w:rStyle w:val="Hyperlink"/>
            <w:noProof/>
          </w:rPr>
          <w:t xml:space="preserve">8.2.3 </w:t>
        </w:r>
        <w:r w:rsidR="00D14D2D">
          <w:rPr>
            <w:rFonts w:eastAsiaTheme="minorEastAsia"/>
            <w:noProof/>
            <w:lang w:eastAsia="en-GB"/>
          </w:rPr>
          <w:tab/>
        </w:r>
        <w:r w:rsidR="00D14D2D" w:rsidRPr="00531D9E">
          <w:rPr>
            <w:rStyle w:val="Hyperlink"/>
            <w:noProof/>
          </w:rPr>
          <w:t>Specific Approach to Management</w:t>
        </w:r>
        <w:r w:rsidR="00D14D2D">
          <w:rPr>
            <w:noProof/>
            <w:webHidden/>
          </w:rPr>
          <w:tab/>
        </w:r>
        <w:r w:rsidR="00D14D2D">
          <w:rPr>
            <w:noProof/>
            <w:webHidden/>
          </w:rPr>
          <w:fldChar w:fldCharType="begin"/>
        </w:r>
        <w:r w:rsidR="00D14D2D">
          <w:rPr>
            <w:noProof/>
            <w:webHidden/>
          </w:rPr>
          <w:instrText xml:space="preserve"> PAGEREF _Toc128330021 \h </w:instrText>
        </w:r>
        <w:r w:rsidR="00D14D2D">
          <w:rPr>
            <w:noProof/>
            <w:webHidden/>
          </w:rPr>
        </w:r>
        <w:r w:rsidR="00D14D2D">
          <w:rPr>
            <w:noProof/>
            <w:webHidden/>
          </w:rPr>
          <w:fldChar w:fldCharType="separate"/>
        </w:r>
        <w:r w:rsidR="00D14D2D">
          <w:rPr>
            <w:noProof/>
            <w:webHidden/>
          </w:rPr>
          <w:t>60</w:t>
        </w:r>
        <w:r w:rsidR="00D14D2D">
          <w:rPr>
            <w:noProof/>
            <w:webHidden/>
          </w:rPr>
          <w:fldChar w:fldCharType="end"/>
        </w:r>
      </w:hyperlink>
    </w:p>
    <w:p w14:paraId="199650BC" w14:textId="77627CC5" w:rsidR="00D14D2D" w:rsidRDefault="00000000">
      <w:pPr>
        <w:pStyle w:val="TOC3"/>
        <w:tabs>
          <w:tab w:val="right" w:leader="dot" w:pos="9016"/>
        </w:tabs>
        <w:rPr>
          <w:rFonts w:eastAsiaTheme="minorEastAsia"/>
          <w:noProof/>
          <w:lang w:eastAsia="en-GB"/>
        </w:rPr>
      </w:pPr>
      <w:hyperlink w:anchor="_Toc128330022" w:history="1">
        <w:r w:rsidR="00D14D2D" w:rsidRPr="00531D9E">
          <w:rPr>
            <w:rStyle w:val="Hyperlink"/>
            <w:noProof/>
          </w:rPr>
          <w:t>8.3 Mineral and Bone Disorder</w:t>
        </w:r>
        <w:r w:rsidR="00D14D2D">
          <w:rPr>
            <w:noProof/>
            <w:webHidden/>
          </w:rPr>
          <w:tab/>
        </w:r>
        <w:r w:rsidR="00D14D2D">
          <w:rPr>
            <w:noProof/>
            <w:webHidden/>
          </w:rPr>
          <w:fldChar w:fldCharType="begin"/>
        </w:r>
        <w:r w:rsidR="00D14D2D">
          <w:rPr>
            <w:noProof/>
            <w:webHidden/>
          </w:rPr>
          <w:instrText xml:space="preserve"> PAGEREF _Toc128330022 \h </w:instrText>
        </w:r>
        <w:r w:rsidR="00D14D2D">
          <w:rPr>
            <w:noProof/>
            <w:webHidden/>
          </w:rPr>
        </w:r>
        <w:r w:rsidR="00D14D2D">
          <w:rPr>
            <w:noProof/>
            <w:webHidden/>
          </w:rPr>
          <w:fldChar w:fldCharType="separate"/>
        </w:r>
        <w:r w:rsidR="00D14D2D">
          <w:rPr>
            <w:noProof/>
            <w:webHidden/>
          </w:rPr>
          <w:t>60</w:t>
        </w:r>
        <w:r w:rsidR="00D14D2D">
          <w:rPr>
            <w:noProof/>
            <w:webHidden/>
          </w:rPr>
          <w:fldChar w:fldCharType="end"/>
        </w:r>
      </w:hyperlink>
    </w:p>
    <w:p w14:paraId="36A3F82A" w14:textId="3C2692A9" w:rsidR="00D14D2D" w:rsidRDefault="00000000">
      <w:pPr>
        <w:pStyle w:val="TOC4"/>
        <w:tabs>
          <w:tab w:val="left" w:pos="1540"/>
          <w:tab w:val="right" w:leader="dot" w:pos="9016"/>
        </w:tabs>
        <w:rPr>
          <w:rFonts w:eastAsiaTheme="minorEastAsia"/>
          <w:noProof/>
          <w:lang w:eastAsia="en-GB"/>
        </w:rPr>
      </w:pPr>
      <w:hyperlink w:anchor="_Toc128330023" w:history="1">
        <w:r w:rsidR="00D14D2D" w:rsidRPr="00531D9E">
          <w:rPr>
            <w:rStyle w:val="Hyperlink"/>
            <w:noProof/>
          </w:rPr>
          <w:t xml:space="preserve">8.3.1 </w:t>
        </w:r>
        <w:r w:rsidR="00D14D2D">
          <w:rPr>
            <w:rFonts w:eastAsiaTheme="minorEastAsia"/>
            <w:noProof/>
            <w:lang w:eastAsia="en-GB"/>
          </w:rPr>
          <w:tab/>
        </w:r>
        <w:r w:rsidR="00D14D2D" w:rsidRPr="00531D9E">
          <w:rPr>
            <w:rStyle w:val="Hyperlink"/>
            <w:noProof/>
          </w:rPr>
          <w:t>Monitoring</w:t>
        </w:r>
        <w:r w:rsidR="00D14D2D">
          <w:rPr>
            <w:noProof/>
            <w:webHidden/>
          </w:rPr>
          <w:tab/>
        </w:r>
        <w:r w:rsidR="00D14D2D">
          <w:rPr>
            <w:noProof/>
            <w:webHidden/>
          </w:rPr>
          <w:fldChar w:fldCharType="begin"/>
        </w:r>
        <w:r w:rsidR="00D14D2D">
          <w:rPr>
            <w:noProof/>
            <w:webHidden/>
          </w:rPr>
          <w:instrText xml:space="preserve"> PAGEREF _Toc128330023 \h </w:instrText>
        </w:r>
        <w:r w:rsidR="00D14D2D">
          <w:rPr>
            <w:noProof/>
            <w:webHidden/>
          </w:rPr>
        </w:r>
        <w:r w:rsidR="00D14D2D">
          <w:rPr>
            <w:noProof/>
            <w:webHidden/>
          </w:rPr>
          <w:fldChar w:fldCharType="separate"/>
        </w:r>
        <w:r w:rsidR="00D14D2D">
          <w:rPr>
            <w:noProof/>
            <w:webHidden/>
          </w:rPr>
          <w:t>61</w:t>
        </w:r>
        <w:r w:rsidR="00D14D2D">
          <w:rPr>
            <w:noProof/>
            <w:webHidden/>
          </w:rPr>
          <w:fldChar w:fldCharType="end"/>
        </w:r>
      </w:hyperlink>
    </w:p>
    <w:p w14:paraId="4B74421E" w14:textId="556BF832" w:rsidR="00D14D2D" w:rsidRDefault="00000000">
      <w:pPr>
        <w:pStyle w:val="TOC4"/>
        <w:tabs>
          <w:tab w:val="left" w:pos="1540"/>
          <w:tab w:val="right" w:leader="dot" w:pos="9016"/>
        </w:tabs>
        <w:rPr>
          <w:rFonts w:eastAsiaTheme="minorEastAsia"/>
          <w:noProof/>
          <w:lang w:eastAsia="en-GB"/>
        </w:rPr>
      </w:pPr>
      <w:hyperlink w:anchor="_Toc128330024" w:history="1">
        <w:r w:rsidR="00D14D2D" w:rsidRPr="00531D9E">
          <w:rPr>
            <w:rStyle w:val="Hyperlink"/>
            <w:noProof/>
          </w:rPr>
          <w:t xml:space="preserve">8.3.2 </w:t>
        </w:r>
        <w:r w:rsidR="00D14D2D">
          <w:rPr>
            <w:rFonts w:eastAsiaTheme="minorEastAsia"/>
            <w:noProof/>
            <w:lang w:eastAsia="en-GB"/>
          </w:rPr>
          <w:tab/>
        </w:r>
        <w:r w:rsidR="00D14D2D" w:rsidRPr="00531D9E">
          <w:rPr>
            <w:rStyle w:val="Hyperlink"/>
            <w:noProof/>
          </w:rPr>
          <w:t>Hyperphosphataemia management</w:t>
        </w:r>
        <w:r w:rsidR="00D14D2D">
          <w:rPr>
            <w:noProof/>
            <w:webHidden/>
          </w:rPr>
          <w:tab/>
        </w:r>
        <w:r w:rsidR="00D14D2D">
          <w:rPr>
            <w:noProof/>
            <w:webHidden/>
          </w:rPr>
          <w:fldChar w:fldCharType="begin"/>
        </w:r>
        <w:r w:rsidR="00D14D2D">
          <w:rPr>
            <w:noProof/>
            <w:webHidden/>
          </w:rPr>
          <w:instrText xml:space="preserve"> PAGEREF _Toc128330024 \h </w:instrText>
        </w:r>
        <w:r w:rsidR="00D14D2D">
          <w:rPr>
            <w:noProof/>
            <w:webHidden/>
          </w:rPr>
        </w:r>
        <w:r w:rsidR="00D14D2D">
          <w:rPr>
            <w:noProof/>
            <w:webHidden/>
          </w:rPr>
          <w:fldChar w:fldCharType="separate"/>
        </w:r>
        <w:r w:rsidR="00D14D2D">
          <w:rPr>
            <w:noProof/>
            <w:webHidden/>
          </w:rPr>
          <w:t>61</w:t>
        </w:r>
        <w:r w:rsidR="00D14D2D">
          <w:rPr>
            <w:noProof/>
            <w:webHidden/>
          </w:rPr>
          <w:fldChar w:fldCharType="end"/>
        </w:r>
      </w:hyperlink>
    </w:p>
    <w:p w14:paraId="46195117" w14:textId="369973B4" w:rsidR="00D14D2D" w:rsidRDefault="00000000">
      <w:pPr>
        <w:pStyle w:val="TOC4"/>
        <w:tabs>
          <w:tab w:val="left" w:pos="1540"/>
          <w:tab w:val="right" w:leader="dot" w:pos="9016"/>
        </w:tabs>
        <w:rPr>
          <w:rFonts w:eastAsiaTheme="minorEastAsia"/>
          <w:noProof/>
          <w:lang w:eastAsia="en-GB"/>
        </w:rPr>
      </w:pPr>
      <w:hyperlink w:anchor="_Toc128330025" w:history="1">
        <w:r w:rsidR="00D14D2D" w:rsidRPr="00531D9E">
          <w:rPr>
            <w:rStyle w:val="Hyperlink"/>
            <w:noProof/>
          </w:rPr>
          <w:t xml:space="preserve">8.3.3 </w:t>
        </w:r>
        <w:r w:rsidR="00D14D2D">
          <w:rPr>
            <w:rFonts w:eastAsiaTheme="minorEastAsia"/>
            <w:noProof/>
            <w:lang w:eastAsia="en-GB"/>
          </w:rPr>
          <w:tab/>
        </w:r>
        <w:r w:rsidR="00D14D2D" w:rsidRPr="00531D9E">
          <w:rPr>
            <w:rStyle w:val="Hyperlink"/>
            <w:noProof/>
          </w:rPr>
          <w:t>Bone metabolism and osteoporosis</w:t>
        </w:r>
        <w:r w:rsidR="00D14D2D">
          <w:rPr>
            <w:noProof/>
            <w:webHidden/>
          </w:rPr>
          <w:tab/>
        </w:r>
        <w:r w:rsidR="00D14D2D">
          <w:rPr>
            <w:noProof/>
            <w:webHidden/>
          </w:rPr>
          <w:fldChar w:fldCharType="begin"/>
        </w:r>
        <w:r w:rsidR="00D14D2D">
          <w:rPr>
            <w:noProof/>
            <w:webHidden/>
          </w:rPr>
          <w:instrText xml:space="preserve"> PAGEREF _Toc128330025 \h </w:instrText>
        </w:r>
        <w:r w:rsidR="00D14D2D">
          <w:rPr>
            <w:noProof/>
            <w:webHidden/>
          </w:rPr>
        </w:r>
        <w:r w:rsidR="00D14D2D">
          <w:rPr>
            <w:noProof/>
            <w:webHidden/>
          </w:rPr>
          <w:fldChar w:fldCharType="separate"/>
        </w:r>
        <w:r w:rsidR="00D14D2D">
          <w:rPr>
            <w:noProof/>
            <w:webHidden/>
          </w:rPr>
          <w:t>61</w:t>
        </w:r>
        <w:r w:rsidR="00D14D2D">
          <w:rPr>
            <w:noProof/>
            <w:webHidden/>
          </w:rPr>
          <w:fldChar w:fldCharType="end"/>
        </w:r>
      </w:hyperlink>
    </w:p>
    <w:p w14:paraId="5448B12D" w14:textId="4A32FC61" w:rsidR="00D14D2D" w:rsidRDefault="00000000">
      <w:pPr>
        <w:pStyle w:val="TOC4"/>
        <w:tabs>
          <w:tab w:val="left" w:pos="1540"/>
          <w:tab w:val="right" w:leader="dot" w:pos="9016"/>
        </w:tabs>
        <w:rPr>
          <w:rFonts w:eastAsiaTheme="minorEastAsia"/>
          <w:noProof/>
          <w:lang w:eastAsia="en-GB"/>
        </w:rPr>
      </w:pPr>
      <w:hyperlink w:anchor="_Toc128330026" w:history="1">
        <w:r w:rsidR="00D14D2D" w:rsidRPr="00531D9E">
          <w:rPr>
            <w:rStyle w:val="Hyperlink"/>
            <w:noProof/>
          </w:rPr>
          <w:t xml:space="preserve">8.3.4 </w:t>
        </w:r>
        <w:r w:rsidR="00D14D2D">
          <w:rPr>
            <w:rFonts w:eastAsiaTheme="minorEastAsia"/>
            <w:noProof/>
            <w:lang w:eastAsia="en-GB"/>
          </w:rPr>
          <w:tab/>
        </w:r>
        <w:r w:rsidR="00D14D2D" w:rsidRPr="00531D9E">
          <w:rPr>
            <w:rStyle w:val="Hyperlink"/>
            <w:noProof/>
          </w:rPr>
          <w:t>Vitamin D supplementation</w:t>
        </w:r>
        <w:r w:rsidR="00D14D2D">
          <w:rPr>
            <w:noProof/>
            <w:webHidden/>
          </w:rPr>
          <w:tab/>
        </w:r>
        <w:r w:rsidR="00D14D2D">
          <w:rPr>
            <w:noProof/>
            <w:webHidden/>
          </w:rPr>
          <w:fldChar w:fldCharType="begin"/>
        </w:r>
        <w:r w:rsidR="00D14D2D">
          <w:rPr>
            <w:noProof/>
            <w:webHidden/>
          </w:rPr>
          <w:instrText xml:space="preserve"> PAGEREF _Toc128330026 \h </w:instrText>
        </w:r>
        <w:r w:rsidR="00D14D2D">
          <w:rPr>
            <w:noProof/>
            <w:webHidden/>
          </w:rPr>
        </w:r>
        <w:r w:rsidR="00D14D2D">
          <w:rPr>
            <w:noProof/>
            <w:webHidden/>
          </w:rPr>
          <w:fldChar w:fldCharType="separate"/>
        </w:r>
        <w:r w:rsidR="00D14D2D">
          <w:rPr>
            <w:noProof/>
            <w:webHidden/>
          </w:rPr>
          <w:t>61</w:t>
        </w:r>
        <w:r w:rsidR="00D14D2D">
          <w:rPr>
            <w:noProof/>
            <w:webHidden/>
          </w:rPr>
          <w:fldChar w:fldCharType="end"/>
        </w:r>
      </w:hyperlink>
    </w:p>
    <w:p w14:paraId="03C1F2AE" w14:textId="33C16379" w:rsidR="00D14D2D" w:rsidRDefault="00000000">
      <w:pPr>
        <w:pStyle w:val="TOC3"/>
        <w:tabs>
          <w:tab w:val="right" w:leader="dot" w:pos="9016"/>
        </w:tabs>
        <w:rPr>
          <w:rFonts w:eastAsiaTheme="minorEastAsia"/>
          <w:noProof/>
          <w:lang w:eastAsia="en-GB"/>
        </w:rPr>
      </w:pPr>
      <w:hyperlink w:anchor="_Toc128330027" w:history="1">
        <w:r w:rsidR="00D14D2D" w:rsidRPr="00531D9E">
          <w:rPr>
            <w:rStyle w:val="Hyperlink"/>
            <w:noProof/>
          </w:rPr>
          <w:t>8.4 Metabolic Acidosis</w:t>
        </w:r>
        <w:r w:rsidR="00D14D2D">
          <w:rPr>
            <w:noProof/>
            <w:webHidden/>
          </w:rPr>
          <w:tab/>
        </w:r>
        <w:r w:rsidR="00D14D2D">
          <w:rPr>
            <w:noProof/>
            <w:webHidden/>
          </w:rPr>
          <w:fldChar w:fldCharType="begin"/>
        </w:r>
        <w:r w:rsidR="00D14D2D">
          <w:rPr>
            <w:noProof/>
            <w:webHidden/>
          </w:rPr>
          <w:instrText xml:space="preserve"> PAGEREF _Toc128330027 \h </w:instrText>
        </w:r>
        <w:r w:rsidR="00D14D2D">
          <w:rPr>
            <w:noProof/>
            <w:webHidden/>
          </w:rPr>
        </w:r>
        <w:r w:rsidR="00D14D2D">
          <w:rPr>
            <w:noProof/>
            <w:webHidden/>
          </w:rPr>
          <w:fldChar w:fldCharType="separate"/>
        </w:r>
        <w:r w:rsidR="00D14D2D">
          <w:rPr>
            <w:noProof/>
            <w:webHidden/>
          </w:rPr>
          <w:t>61</w:t>
        </w:r>
        <w:r w:rsidR="00D14D2D">
          <w:rPr>
            <w:noProof/>
            <w:webHidden/>
          </w:rPr>
          <w:fldChar w:fldCharType="end"/>
        </w:r>
      </w:hyperlink>
    </w:p>
    <w:p w14:paraId="42879CD5" w14:textId="6DE0853B" w:rsidR="00D14D2D" w:rsidRDefault="00000000">
      <w:pPr>
        <w:pStyle w:val="TOC4"/>
        <w:tabs>
          <w:tab w:val="left" w:pos="1540"/>
          <w:tab w:val="right" w:leader="dot" w:pos="9016"/>
        </w:tabs>
        <w:rPr>
          <w:rFonts w:eastAsiaTheme="minorEastAsia"/>
          <w:noProof/>
          <w:lang w:eastAsia="en-GB"/>
        </w:rPr>
      </w:pPr>
      <w:hyperlink w:anchor="_Toc128330028" w:history="1">
        <w:r w:rsidR="00D14D2D" w:rsidRPr="00531D9E">
          <w:rPr>
            <w:rStyle w:val="Hyperlink"/>
            <w:noProof/>
          </w:rPr>
          <w:t xml:space="preserve">8.4.1 </w:t>
        </w:r>
        <w:r w:rsidR="00D14D2D">
          <w:rPr>
            <w:rFonts w:eastAsiaTheme="minorEastAsia"/>
            <w:noProof/>
            <w:lang w:eastAsia="en-GB"/>
          </w:rPr>
          <w:tab/>
        </w:r>
        <w:r w:rsidR="00D14D2D" w:rsidRPr="00531D9E">
          <w:rPr>
            <w:rStyle w:val="Hyperlink"/>
            <w:noProof/>
          </w:rPr>
          <w:t>Monitoring</w:t>
        </w:r>
        <w:r w:rsidR="00D14D2D">
          <w:rPr>
            <w:noProof/>
            <w:webHidden/>
          </w:rPr>
          <w:tab/>
        </w:r>
        <w:r w:rsidR="00D14D2D">
          <w:rPr>
            <w:noProof/>
            <w:webHidden/>
          </w:rPr>
          <w:fldChar w:fldCharType="begin"/>
        </w:r>
        <w:r w:rsidR="00D14D2D">
          <w:rPr>
            <w:noProof/>
            <w:webHidden/>
          </w:rPr>
          <w:instrText xml:space="preserve"> PAGEREF _Toc128330028 \h </w:instrText>
        </w:r>
        <w:r w:rsidR="00D14D2D">
          <w:rPr>
            <w:noProof/>
            <w:webHidden/>
          </w:rPr>
        </w:r>
        <w:r w:rsidR="00D14D2D">
          <w:rPr>
            <w:noProof/>
            <w:webHidden/>
          </w:rPr>
          <w:fldChar w:fldCharType="separate"/>
        </w:r>
        <w:r w:rsidR="00D14D2D">
          <w:rPr>
            <w:noProof/>
            <w:webHidden/>
          </w:rPr>
          <w:t>61</w:t>
        </w:r>
        <w:r w:rsidR="00D14D2D">
          <w:rPr>
            <w:noProof/>
            <w:webHidden/>
          </w:rPr>
          <w:fldChar w:fldCharType="end"/>
        </w:r>
      </w:hyperlink>
    </w:p>
    <w:p w14:paraId="679863E1" w14:textId="1FF251BD" w:rsidR="00D14D2D" w:rsidRDefault="00000000">
      <w:pPr>
        <w:pStyle w:val="TOC4"/>
        <w:tabs>
          <w:tab w:val="left" w:pos="1540"/>
          <w:tab w:val="right" w:leader="dot" w:pos="9016"/>
        </w:tabs>
        <w:rPr>
          <w:rFonts w:eastAsiaTheme="minorEastAsia"/>
          <w:noProof/>
          <w:lang w:eastAsia="en-GB"/>
        </w:rPr>
      </w:pPr>
      <w:hyperlink w:anchor="_Toc128330029" w:history="1">
        <w:r w:rsidR="00D14D2D" w:rsidRPr="00531D9E">
          <w:rPr>
            <w:rStyle w:val="Hyperlink"/>
            <w:noProof/>
          </w:rPr>
          <w:t xml:space="preserve">8.4.2 </w:t>
        </w:r>
        <w:r w:rsidR="00D14D2D">
          <w:rPr>
            <w:rFonts w:eastAsiaTheme="minorEastAsia"/>
            <w:noProof/>
            <w:lang w:eastAsia="en-GB"/>
          </w:rPr>
          <w:tab/>
        </w:r>
        <w:r w:rsidR="00D14D2D" w:rsidRPr="00531D9E">
          <w:rPr>
            <w:rStyle w:val="Hyperlink"/>
            <w:noProof/>
          </w:rPr>
          <w:t>Treatment</w:t>
        </w:r>
        <w:r w:rsidR="00D14D2D">
          <w:rPr>
            <w:noProof/>
            <w:webHidden/>
          </w:rPr>
          <w:tab/>
        </w:r>
        <w:r w:rsidR="00D14D2D">
          <w:rPr>
            <w:noProof/>
            <w:webHidden/>
          </w:rPr>
          <w:fldChar w:fldCharType="begin"/>
        </w:r>
        <w:r w:rsidR="00D14D2D">
          <w:rPr>
            <w:noProof/>
            <w:webHidden/>
          </w:rPr>
          <w:instrText xml:space="preserve"> PAGEREF _Toc128330029 \h </w:instrText>
        </w:r>
        <w:r w:rsidR="00D14D2D">
          <w:rPr>
            <w:noProof/>
            <w:webHidden/>
          </w:rPr>
        </w:r>
        <w:r w:rsidR="00D14D2D">
          <w:rPr>
            <w:noProof/>
            <w:webHidden/>
          </w:rPr>
          <w:fldChar w:fldCharType="separate"/>
        </w:r>
        <w:r w:rsidR="00D14D2D">
          <w:rPr>
            <w:noProof/>
            <w:webHidden/>
          </w:rPr>
          <w:t>62</w:t>
        </w:r>
        <w:r w:rsidR="00D14D2D">
          <w:rPr>
            <w:noProof/>
            <w:webHidden/>
          </w:rPr>
          <w:fldChar w:fldCharType="end"/>
        </w:r>
      </w:hyperlink>
    </w:p>
    <w:p w14:paraId="5C3C9A09" w14:textId="6D67768B" w:rsidR="00D14D2D" w:rsidRDefault="00000000">
      <w:pPr>
        <w:pStyle w:val="TOC2"/>
        <w:tabs>
          <w:tab w:val="right" w:leader="dot" w:pos="9016"/>
        </w:tabs>
        <w:rPr>
          <w:rFonts w:eastAsiaTheme="minorEastAsia"/>
          <w:noProof/>
          <w:lang w:eastAsia="en-GB"/>
        </w:rPr>
      </w:pPr>
      <w:hyperlink w:anchor="_Toc128330030" w:history="1">
        <w:r w:rsidR="00D14D2D" w:rsidRPr="00531D9E">
          <w:rPr>
            <w:rStyle w:val="Hyperlink"/>
            <w:rFonts w:cstheme="minorHAnsi"/>
            <w:noProof/>
          </w:rPr>
          <w:t>References</w:t>
        </w:r>
        <w:r w:rsidR="00D14D2D">
          <w:rPr>
            <w:noProof/>
            <w:webHidden/>
          </w:rPr>
          <w:tab/>
        </w:r>
        <w:r w:rsidR="00D14D2D">
          <w:rPr>
            <w:noProof/>
            <w:webHidden/>
          </w:rPr>
          <w:fldChar w:fldCharType="begin"/>
        </w:r>
        <w:r w:rsidR="00D14D2D">
          <w:rPr>
            <w:noProof/>
            <w:webHidden/>
          </w:rPr>
          <w:instrText xml:space="preserve"> PAGEREF _Toc128330030 \h </w:instrText>
        </w:r>
        <w:r w:rsidR="00D14D2D">
          <w:rPr>
            <w:noProof/>
            <w:webHidden/>
          </w:rPr>
        </w:r>
        <w:r w:rsidR="00D14D2D">
          <w:rPr>
            <w:noProof/>
            <w:webHidden/>
          </w:rPr>
          <w:fldChar w:fldCharType="separate"/>
        </w:r>
        <w:r w:rsidR="00D14D2D">
          <w:rPr>
            <w:noProof/>
            <w:webHidden/>
          </w:rPr>
          <w:t>62</w:t>
        </w:r>
        <w:r w:rsidR="00D14D2D">
          <w:rPr>
            <w:noProof/>
            <w:webHidden/>
          </w:rPr>
          <w:fldChar w:fldCharType="end"/>
        </w:r>
      </w:hyperlink>
    </w:p>
    <w:p w14:paraId="1BEE294F" w14:textId="4089C410" w:rsidR="00D14D2D" w:rsidRDefault="00000000">
      <w:pPr>
        <w:pStyle w:val="TOC1"/>
        <w:tabs>
          <w:tab w:val="right" w:leader="dot" w:pos="9016"/>
        </w:tabs>
        <w:rPr>
          <w:rFonts w:eastAsiaTheme="minorEastAsia"/>
          <w:noProof/>
          <w:lang w:eastAsia="en-GB"/>
        </w:rPr>
      </w:pPr>
      <w:hyperlink w:anchor="_Toc128330031" w:history="1">
        <w:r w:rsidR="00D14D2D" w:rsidRPr="00531D9E">
          <w:rPr>
            <w:rStyle w:val="Hyperlink"/>
            <w:noProof/>
          </w:rPr>
          <w:t>9 MANAGEMENT OF THE COMPLICATIONS OF LONG-TERM IMMUNOSUPPRESSION</w:t>
        </w:r>
        <w:r w:rsidR="00D14D2D">
          <w:rPr>
            <w:noProof/>
            <w:webHidden/>
          </w:rPr>
          <w:tab/>
        </w:r>
        <w:r w:rsidR="00D14D2D">
          <w:rPr>
            <w:noProof/>
            <w:webHidden/>
          </w:rPr>
          <w:fldChar w:fldCharType="begin"/>
        </w:r>
        <w:r w:rsidR="00D14D2D">
          <w:rPr>
            <w:noProof/>
            <w:webHidden/>
          </w:rPr>
          <w:instrText xml:space="preserve"> PAGEREF _Toc128330031 \h </w:instrText>
        </w:r>
        <w:r w:rsidR="00D14D2D">
          <w:rPr>
            <w:noProof/>
            <w:webHidden/>
          </w:rPr>
        </w:r>
        <w:r w:rsidR="00D14D2D">
          <w:rPr>
            <w:noProof/>
            <w:webHidden/>
          </w:rPr>
          <w:fldChar w:fldCharType="separate"/>
        </w:r>
        <w:r w:rsidR="00D14D2D">
          <w:rPr>
            <w:noProof/>
            <w:webHidden/>
          </w:rPr>
          <w:t>63</w:t>
        </w:r>
        <w:r w:rsidR="00D14D2D">
          <w:rPr>
            <w:noProof/>
            <w:webHidden/>
          </w:rPr>
          <w:fldChar w:fldCharType="end"/>
        </w:r>
      </w:hyperlink>
    </w:p>
    <w:p w14:paraId="1AB36D9B" w14:textId="49D1C1E1" w:rsidR="00D14D2D" w:rsidRDefault="00000000">
      <w:pPr>
        <w:pStyle w:val="TOC2"/>
        <w:tabs>
          <w:tab w:val="right" w:leader="dot" w:pos="9016"/>
        </w:tabs>
        <w:rPr>
          <w:rFonts w:eastAsiaTheme="minorEastAsia"/>
          <w:noProof/>
          <w:lang w:eastAsia="en-GB"/>
        </w:rPr>
      </w:pPr>
      <w:hyperlink w:anchor="_Toc128330032" w:history="1">
        <w:r w:rsidR="00D14D2D" w:rsidRPr="00531D9E">
          <w:rPr>
            <w:rStyle w:val="Hyperlink"/>
            <w:noProof/>
          </w:rPr>
          <w:t>9.1 Malignancy</w:t>
        </w:r>
        <w:r w:rsidR="00D14D2D">
          <w:rPr>
            <w:noProof/>
            <w:webHidden/>
          </w:rPr>
          <w:tab/>
        </w:r>
        <w:r w:rsidR="00D14D2D">
          <w:rPr>
            <w:noProof/>
            <w:webHidden/>
          </w:rPr>
          <w:fldChar w:fldCharType="begin"/>
        </w:r>
        <w:r w:rsidR="00D14D2D">
          <w:rPr>
            <w:noProof/>
            <w:webHidden/>
          </w:rPr>
          <w:instrText xml:space="preserve"> PAGEREF _Toc128330032 \h </w:instrText>
        </w:r>
        <w:r w:rsidR="00D14D2D">
          <w:rPr>
            <w:noProof/>
            <w:webHidden/>
          </w:rPr>
        </w:r>
        <w:r w:rsidR="00D14D2D">
          <w:rPr>
            <w:noProof/>
            <w:webHidden/>
          </w:rPr>
          <w:fldChar w:fldCharType="separate"/>
        </w:r>
        <w:r w:rsidR="00D14D2D">
          <w:rPr>
            <w:noProof/>
            <w:webHidden/>
          </w:rPr>
          <w:t>63</w:t>
        </w:r>
        <w:r w:rsidR="00D14D2D">
          <w:rPr>
            <w:noProof/>
            <w:webHidden/>
          </w:rPr>
          <w:fldChar w:fldCharType="end"/>
        </w:r>
      </w:hyperlink>
    </w:p>
    <w:p w14:paraId="708085BC" w14:textId="16BE2C68" w:rsidR="00D14D2D" w:rsidRDefault="00000000">
      <w:pPr>
        <w:pStyle w:val="TOC3"/>
        <w:tabs>
          <w:tab w:val="right" w:leader="dot" w:pos="9016"/>
        </w:tabs>
        <w:rPr>
          <w:rFonts w:eastAsiaTheme="minorEastAsia"/>
          <w:noProof/>
          <w:lang w:eastAsia="en-GB"/>
        </w:rPr>
      </w:pPr>
      <w:hyperlink w:anchor="_Toc128330033" w:history="1">
        <w:r w:rsidR="00D14D2D" w:rsidRPr="00531D9E">
          <w:rPr>
            <w:rStyle w:val="Hyperlink"/>
            <w:noProof/>
          </w:rPr>
          <w:t>9.1.1 Post-Transplant Lymphoproliferative Disorders (PTLD)</w:t>
        </w:r>
        <w:r w:rsidR="00D14D2D">
          <w:rPr>
            <w:noProof/>
            <w:webHidden/>
          </w:rPr>
          <w:tab/>
        </w:r>
        <w:r w:rsidR="00D14D2D">
          <w:rPr>
            <w:noProof/>
            <w:webHidden/>
          </w:rPr>
          <w:fldChar w:fldCharType="begin"/>
        </w:r>
        <w:r w:rsidR="00D14D2D">
          <w:rPr>
            <w:noProof/>
            <w:webHidden/>
          </w:rPr>
          <w:instrText xml:space="preserve"> PAGEREF _Toc128330033 \h </w:instrText>
        </w:r>
        <w:r w:rsidR="00D14D2D">
          <w:rPr>
            <w:noProof/>
            <w:webHidden/>
          </w:rPr>
        </w:r>
        <w:r w:rsidR="00D14D2D">
          <w:rPr>
            <w:noProof/>
            <w:webHidden/>
          </w:rPr>
          <w:fldChar w:fldCharType="separate"/>
        </w:r>
        <w:r w:rsidR="00D14D2D">
          <w:rPr>
            <w:noProof/>
            <w:webHidden/>
          </w:rPr>
          <w:t>63</w:t>
        </w:r>
        <w:r w:rsidR="00D14D2D">
          <w:rPr>
            <w:noProof/>
            <w:webHidden/>
          </w:rPr>
          <w:fldChar w:fldCharType="end"/>
        </w:r>
      </w:hyperlink>
    </w:p>
    <w:p w14:paraId="0D976081" w14:textId="3581C14A" w:rsidR="00D14D2D" w:rsidRDefault="00000000">
      <w:pPr>
        <w:pStyle w:val="TOC3"/>
        <w:tabs>
          <w:tab w:val="right" w:leader="dot" w:pos="9016"/>
        </w:tabs>
        <w:rPr>
          <w:rFonts w:eastAsiaTheme="minorEastAsia"/>
          <w:noProof/>
          <w:lang w:eastAsia="en-GB"/>
        </w:rPr>
      </w:pPr>
      <w:hyperlink w:anchor="_Toc128330034" w:history="1">
        <w:r w:rsidR="00D14D2D" w:rsidRPr="00531D9E">
          <w:rPr>
            <w:rStyle w:val="Hyperlink"/>
            <w:noProof/>
          </w:rPr>
          <w:t>Statements of Recommendation</w:t>
        </w:r>
        <w:r w:rsidR="00D14D2D">
          <w:rPr>
            <w:noProof/>
            <w:webHidden/>
          </w:rPr>
          <w:tab/>
        </w:r>
        <w:r w:rsidR="00D14D2D">
          <w:rPr>
            <w:noProof/>
            <w:webHidden/>
          </w:rPr>
          <w:fldChar w:fldCharType="begin"/>
        </w:r>
        <w:r w:rsidR="00D14D2D">
          <w:rPr>
            <w:noProof/>
            <w:webHidden/>
          </w:rPr>
          <w:instrText xml:space="preserve"> PAGEREF _Toc128330034 \h </w:instrText>
        </w:r>
        <w:r w:rsidR="00D14D2D">
          <w:rPr>
            <w:noProof/>
            <w:webHidden/>
          </w:rPr>
        </w:r>
        <w:r w:rsidR="00D14D2D">
          <w:rPr>
            <w:noProof/>
            <w:webHidden/>
          </w:rPr>
          <w:fldChar w:fldCharType="separate"/>
        </w:r>
        <w:r w:rsidR="00D14D2D">
          <w:rPr>
            <w:noProof/>
            <w:webHidden/>
          </w:rPr>
          <w:t>63</w:t>
        </w:r>
        <w:r w:rsidR="00D14D2D">
          <w:rPr>
            <w:noProof/>
            <w:webHidden/>
          </w:rPr>
          <w:fldChar w:fldCharType="end"/>
        </w:r>
      </w:hyperlink>
    </w:p>
    <w:p w14:paraId="035DFB3A" w14:textId="1A504B0D" w:rsidR="00D14D2D" w:rsidRDefault="00000000">
      <w:pPr>
        <w:pStyle w:val="TOC3"/>
        <w:tabs>
          <w:tab w:val="right" w:leader="dot" w:pos="9016"/>
        </w:tabs>
        <w:rPr>
          <w:rFonts w:eastAsiaTheme="minorEastAsia"/>
          <w:noProof/>
          <w:lang w:eastAsia="en-GB"/>
        </w:rPr>
      </w:pPr>
      <w:hyperlink w:anchor="_Toc128330035" w:history="1">
        <w:r w:rsidR="00D14D2D" w:rsidRPr="00531D9E">
          <w:rPr>
            <w:rStyle w:val="Hyperlink"/>
            <w:noProof/>
          </w:rPr>
          <w:t>Rationale</w:t>
        </w:r>
        <w:r w:rsidR="00D14D2D">
          <w:rPr>
            <w:noProof/>
            <w:webHidden/>
          </w:rPr>
          <w:tab/>
        </w:r>
        <w:r w:rsidR="00D14D2D">
          <w:rPr>
            <w:noProof/>
            <w:webHidden/>
          </w:rPr>
          <w:fldChar w:fldCharType="begin"/>
        </w:r>
        <w:r w:rsidR="00D14D2D">
          <w:rPr>
            <w:noProof/>
            <w:webHidden/>
          </w:rPr>
          <w:instrText xml:space="preserve"> PAGEREF _Toc128330035 \h </w:instrText>
        </w:r>
        <w:r w:rsidR="00D14D2D">
          <w:rPr>
            <w:noProof/>
            <w:webHidden/>
          </w:rPr>
        </w:r>
        <w:r w:rsidR="00D14D2D">
          <w:rPr>
            <w:noProof/>
            <w:webHidden/>
          </w:rPr>
          <w:fldChar w:fldCharType="separate"/>
        </w:r>
        <w:r w:rsidR="00D14D2D">
          <w:rPr>
            <w:noProof/>
            <w:webHidden/>
          </w:rPr>
          <w:t>63</w:t>
        </w:r>
        <w:r w:rsidR="00D14D2D">
          <w:rPr>
            <w:noProof/>
            <w:webHidden/>
          </w:rPr>
          <w:fldChar w:fldCharType="end"/>
        </w:r>
      </w:hyperlink>
    </w:p>
    <w:p w14:paraId="477B82B0" w14:textId="4F8DC27C" w:rsidR="00D14D2D" w:rsidRDefault="00000000">
      <w:pPr>
        <w:pStyle w:val="TOC3"/>
        <w:tabs>
          <w:tab w:val="right" w:leader="dot" w:pos="9016"/>
        </w:tabs>
        <w:rPr>
          <w:rFonts w:eastAsiaTheme="minorEastAsia"/>
          <w:noProof/>
          <w:lang w:eastAsia="en-GB"/>
        </w:rPr>
      </w:pPr>
      <w:hyperlink w:anchor="_Toc128330036" w:history="1">
        <w:r w:rsidR="00D14D2D" w:rsidRPr="00531D9E">
          <w:rPr>
            <w:rStyle w:val="Hyperlink"/>
            <w:noProof/>
          </w:rPr>
          <w:t>References</w:t>
        </w:r>
        <w:r w:rsidR="00D14D2D">
          <w:rPr>
            <w:noProof/>
            <w:webHidden/>
          </w:rPr>
          <w:tab/>
        </w:r>
        <w:r w:rsidR="00D14D2D">
          <w:rPr>
            <w:noProof/>
            <w:webHidden/>
          </w:rPr>
          <w:fldChar w:fldCharType="begin"/>
        </w:r>
        <w:r w:rsidR="00D14D2D">
          <w:rPr>
            <w:noProof/>
            <w:webHidden/>
          </w:rPr>
          <w:instrText xml:space="preserve"> PAGEREF _Toc128330036 \h </w:instrText>
        </w:r>
        <w:r w:rsidR="00D14D2D">
          <w:rPr>
            <w:noProof/>
            <w:webHidden/>
          </w:rPr>
        </w:r>
        <w:r w:rsidR="00D14D2D">
          <w:rPr>
            <w:noProof/>
            <w:webHidden/>
          </w:rPr>
          <w:fldChar w:fldCharType="separate"/>
        </w:r>
        <w:r w:rsidR="00D14D2D">
          <w:rPr>
            <w:noProof/>
            <w:webHidden/>
          </w:rPr>
          <w:t>65</w:t>
        </w:r>
        <w:r w:rsidR="00D14D2D">
          <w:rPr>
            <w:noProof/>
            <w:webHidden/>
          </w:rPr>
          <w:fldChar w:fldCharType="end"/>
        </w:r>
      </w:hyperlink>
    </w:p>
    <w:p w14:paraId="685170A1" w14:textId="3397912B" w:rsidR="00D14D2D" w:rsidRDefault="00000000">
      <w:pPr>
        <w:pStyle w:val="TOC3"/>
        <w:tabs>
          <w:tab w:val="right" w:leader="dot" w:pos="9016"/>
        </w:tabs>
        <w:rPr>
          <w:rFonts w:eastAsiaTheme="minorEastAsia"/>
          <w:noProof/>
          <w:lang w:eastAsia="en-GB"/>
        </w:rPr>
      </w:pPr>
      <w:hyperlink w:anchor="_Toc128330037" w:history="1">
        <w:r w:rsidR="00D14D2D" w:rsidRPr="00531D9E">
          <w:rPr>
            <w:rStyle w:val="Hyperlink"/>
            <w:noProof/>
          </w:rPr>
          <w:t>9.1.2 Solid Organ Cancers</w:t>
        </w:r>
        <w:r w:rsidR="00D14D2D">
          <w:rPr>
            <w:noProof/>
            <w:webHidden/>
          </w:rPr>
          <w:tab/>
        </w:r>
        <w:r w:rsidR="00D14D2D">
          <w:rPr>
            <w:noProof/>
            <w:webHidden/>
          </w:rPr>
          <w:fldChar w:fldCharType="begin"/>
        </w:r>
        <w:r w:rsidR="00D14D2D">
          <w:rPr>
            <w:noProof/>
            <w:webHidden/>
          </w:rPr>
          <w:instrText xml:space="preserve"> PAGEREF _Toc128330037 \h </w:instrText>
        </w:r>
        <w:r w:rsidR="00D14D2D">
          <w:rPr>
            <w:noProof/>
            <w:webHidden/>
          </w:rPr>
        </w:r>
        <w:r w:rsidR="00D14D2D">
          <w:rPr>
            <w:noProof/>
            <w:webHidden/>
          </w:rPr>
          <w:fldChar w:fldCharType="separate"/>
        </w:r>
        <w:r w:rsidR="00D14D2D">
          <w:rPr>
            <w:noProof/>
            <w:webHidden/>
          </w:rPr>
          <w:t>65</w:t>
        </w:r>
        <w:r w:rsidR="00D14D2D">
          <w:rPr>
            <w:noProof/>
            <w:webHidden/>
          </w:rPr>
          <w:fldChar w:fldCharType="end"/>
        </w:r>
      </w:hyperlink>
    </w:p>
    <w:p w14:paraId="175AB066" w14:textId="33031EFC" w:rsidR="00D14D2D" w:rsidRDefault="00000000">
      <w:pPr>
        <w:pStyle w:val="TOC3"/>
        <w:tabs>
          <w:tab w:val="right" w:leader="dot" w:pos="9016"/>
        </w:tabs>
        <w:rPr>
          <w:rFonts w:eastAsiaTheme="minorEastAsia"/>
          <w:noProof/>
          <w:lang w:eastAsia="en-GB"/>
        </w:rPr>
      </w:pPr>
      <w:hyperlink w:anchor="_Toc128330038" w:history="1">
        <w:r w:rsidR="00D14D2D" w:rsidRPr="00531D9E">
          <w:rPr>
            <w:rStyle w:val="Hyperlink"/>
            <w:rFonts w:eastAsia="Arial" w:cstheme="minorHAnsi"/>
            <w:noProof/>
          </w:rPr>
          <w:t>Statements of Recommendation</w:t>
        </w:r>
        <w:r w:rsidR="00D14D2D">
          <w:rPr>
            <w:noProof/>
            <w:webHidden/>
          </w:rPr>
          <w:tab/>
        </w:r>
        <w:r w:rsidR="00D14D2D">
          <w:rPr>
            <w:noProof/>
            <w:webHidden/>
          </w:rPr>
          <w:fldChar w:fldCharType="begin"/>
        </w:r>
        <w:r w:rsidR="00D14D2D">
          <w:rPr>
            <w:noProof/>
            <w:webHidden/>
          </w:rPr>
          <w:instrText xml:space="preserve"> PAGEREF _Toc128330038 \h </w:instrText>
        </w:r>
        <w:r w:rsidR="00D14D2D">
          <w:rPr>
            <w:noProof/>
            <w:webHidden/>
          </w:rPr>
        </w:r>
        <w:r w:rsidR="00D14D2D">
          <w:rPr>
            <w:noProof/>
            <w:webHidden/>
          </w:rPr>
          <w:fldChar w:fldCharType="separate"/>
        </w:r>
        <w:r w:rsidR="00D14D2D">
          <w:rPr>
            <w:noProof/>
            <w:webHidden/>
          </w:rPr>
          <w:t>65</w:t>
        </w:r>
        <w:r w:rsidR="00D14D2D">
          <w:rPr>
            <w:noProof/>
            <w:webHidden/>
          </w:rPr>
          <w:fldChar w:fldCharType="end"/>
        </w:r>
      </w:hyperlink>
    </w:p>
    <w:p w14:paraId="0D2DFFB7" w14:textId="075A1CE7" w:rsidR="00D14D2D" w:rsidRDefault="00000000">
      <w:pPr>
        <w:pStyle w:val="TOC3"/>
        <w:tabs>
          <w:tab w:val="right" w:leader="dot" w:pos="9016"/>
        </w:tabs>
        <w:rPr>
          <w:rFonts w:eastAsiaTheme="minorEastAsia"/>
          <w:noProof/>
          <w:lang w:eastAsia="en-GB"/>
        </w:rPr>
      </w:pPr>
      <w:hyperlink w:anchor="_Toc128330039" w:history="1">
        <w:r w:rsidR="00D14D2D" w:rsidRPr="00531D9E">
          <w:rPr>
            <w:rStyle w:val="Hyperlink"/>
            <w:noProof/>
          </w:rPr>
          <w:t>Rationale</w:t>
        </w:r>
        <w:r w:rsidR="00D14D2D">
          <w:rPr>
            <w:noProof/>
            <w:webHidden/>
          </w:rPr>
          <w:tab/>
        </w:r>
        <w:r w:rsidR="00D14D2D">
          <w:rPr>
            <w:noProof/>
            <w:webHidden/>
          </w:rPr>
          <w:fldChar w:fldCharType="begin"/>
        </w:r>
        <w:r w:rsidR="00D14D2D">
          <w:rPr>
            <w:noProof/>
            <w:webHidden/>
          </w:rPr>
          <w:instrText xml:space="preserve"> PAGEREF _Toc128330039 \h </w:instrText>
        </w:r>
        <w:r w:rsidR="00D14D2D">
          <w:rPr>
            <w:noProof/>
            <w:webHidden/>
          </w:rPr>
        </w:r>
        <w:r w:rsidR="00D14D2D">
          <w:rPr>
            <w:noProof/>
            <w:webHidden/>
          </w:rPr>
          <w:fldChar w:fldCharType="separate"/>
        </w:r>
        <w:r w:rsidR="00D14D2D">
          <w:rPr>
            <w:noProof/>
            <w:webHidden/>
          </w:rPr>
          <w:t>65</w:t>
        </w:r>
        <w:r w:rsidR="00D14D2D">
          <w:rPr>
            <w:noProof/>
            <w:webHidden/>
          </w:rPr>
          <w:fldChar w:fldCharType="end"/>
        </w:r>
      </w:hyperlink>
    </w:p>
    <w:p w14:paraId="38B7CDF9" w14:textId="7C60CE9E" w:rsidR="00D14D2D" w:rsidRDefault="00000000">
      <w:pPr>
        <w:pStyle w:val="TOC3"/>
        <w:tabs>
          <w:tab w:val="right" w:leader="dot" w:pos="9016"/>
        </w:tabs>
        <w:rPr>
          <w:rFonts w:eastAsiaTheme="minorEastAsia"/>
          <w:noProof/>
          <w:lang w:eastAsia="en-GB"/>
        </w:rPr>
      </w:pPr>
      <w:hyperlink w:anchor="_Toc128330040" w:history="1">
        <w:r w:rsidR="00D14D2D" w:rsidRPr="00531D9E">
          <w:rPr>
            <w:rStyle w:val="Hyperlink"/>
            <w:noProof/>
          </w:rPr>
          <w:t>References</w:t>
        </w:r>
        <w:r w:rsidR="00D14D2D">
          <w:rPr>
            <w:noProof/>
            <w:webHidden/>
          </w:rPr>
          <w:tab/>
        </w:r>
        <w:r w:rsidR="00D14D2D">
          <w:rPr>
            <w:noProof/>
            <w:webHidden/>
          </w:rPr>
          <w:fldChar w:fldCharType="begin"/>
        </w:r>
        <w:r w:rsidR="00D14D2D">
          <w:rPr>
            <w:noProof/>
            <w:webHidden/>
          </w:rPr>
          <w:instrText xml:space="preserve"> PAGEREF _Toc128330040 \h </w:instrText>
        </w:r>
        <w:r w:rsidR="00D14D2D">
          <w:rPr>
            <w:noProof/>
            <w:webHidden/>
          </w:rPr>
        </w:r>
        <w:r w:rsidR="00D14D2D">
          <w:rPr>
            <w:noProof/>
            <w:webHidden/>
          </w:rPr>
          <w:fldChar w:fldCharType="separate"/>
        </w:r>
        <w:r w:rsidR="00D14D2D">
          <w:rPr>
            <w:noProof/>
            <w:webHidden/>
          </w:rPr>
          <w:t>66</w:t>
        </w:r>
        <w:r w:rsidR="00D14D2D">
          <w:rPr>
            <w:noProof/>
            <w:webHidden/>
          </w:rPr>
          <w:fldChar w:fldCharType="end"/>
        </w:r>
      </w:hyperlink>
    </w:p>
    <w:p w14:paraId="7E658FA9" w14:textId="7ECD13EE" w:rsidR="00D14D2D" w:rsidRDefault="00000000">
      <w:pPr>
        <w:pStyle w:val="TOC3"/>
        <w:tabs>
          <w:tab w:val="right" w:leader="dot" w:pos="9016"/>
        </w:tabs>
        <w:rPr>
          <w:rFonts w:eastAsiaTheme="minorEastAsia"/>
          <w:noProof/>
          <w:lang w:eastAsia="en-GB"/>
        </w:rPr>
      </w:pPr>
      <w:hyperlink w:anchor="_Toc128330041" w:history="1">
        <w:r w:rsidR="00D14D2D" w:rsidRPr="00531D9E">
          <w:rPr>
            <w:rStyle w:val="Hyperlink"/>
            <w:noProof/>
            <w:highlight w:val="white"/>
          </w:rPr>
          <w:t>Appendix 9.1</w:t>
        </w:r>
        <w:r w:rsidR="00D14D2D">
          <w:rPr>
            <w:noProof/>
            <w:webHidden/>
          </w:rPr>
          <w:tab/>
        </w:r>
        <w:r w:rsidR="00D14D2D">
          <w:rPr>
            <w:noProof/>
            <w:webHidden/>
          </w:rPr>
          <w:fldChar w:fldCharType="begin"/>
        </w:r>
        <w:r w:rsidR="00D14D2D">
          <w:rPr>
            <w:noProof/>
            <w:webHidden/>
          </w:rPr>
          <w:instrText xml:space="preserve"> PAGEREF _Toc128330041 \h </w:instrText>
        </w:r>
        <w:r w:rsidR="00D14D2D">
          <w:rPr>
            <w:noProof/>
            <w:webHidden/>
          </w:rPr>
        </w:r>
        <w:r w:rsidR="00D14D2D">
          <w:rPr>
            <w:noProof/>
            <w:webHidden/>
          </w:rPr>
          <w:fldChar w:fldCharType="separate"/>
        </w:r>
        <w:r w:rsidR="00D14D2D">
          <w:rPr>
            <w:noProof/>
            <w:webHidden/>
          </w:rPr>
          <w:t>66</w:t>
        </w:r>
        <w:r w:rsidR="00D14D2D">
          <w:rPr>
            <w:noProof/>
            <w:webHidden/>
          </w:rPr>
          <w:fldChar w:fldCharType="end"/>
        </w:r>
      </w:hyperlink>
    </w:p>
    <w:p w14:paraId="19454E2B" w14:textId="41ABEDDE" w:rsidR="00D14D2D" w:rsidRDefault="00000000">
      <w:pPr>
        <w:pStyle w:val="TOC3"/>
        <w:tabs>
          <w:tab w:val="left" w:pos="1320"/>
          <w:tab w:val="right" w:leader="dot" w:pos="9016"/>
        </w:tabs>
        <w:rPr>
          <w:rFonts w:eastAsiaTheme="minorEastAsia"/>
          <w:noProof/>
          <w:lang w:eastAsia="en-GB"/>
        </w:rPr>
      </w:pPr>
      <w:hyperlink w:anchor="_Toc128330042" w:history="1">
        <w:r w:rsidR="00D14D2D" w:rsidRPr="00531D9E">
          <w:rPr>
            <w:rStyle w:val="Hyperlink"/>
            <w:noProof/>
            <w:highlight w:val="white"/>
          </w:rPr>
          <w:t>9.1.3</w:t>
        </w:r>
        <w:r w:rsidR="00D14D2D">
          <w:rPr>
            <w:rFonts w:eastAsiaTheme="minorEastAsia"/>
            <w:noProof/>
            <w:lang w:eastAsia="en-GB"/>
          </w:rPr>
          <w:tab/>
        </w:r>
        <w:r w:rsidR="00D14D2D" w:rsidRPr="00531D9E">
          <w:rPr>
            <w:rStyle w:val="Hyperlink"/>
            <w:noProof/>
            <w:highlight w:val="white"/>
          </w:rPr>
          <w:t>Skin cancers</w:t>
        </w:r>
        <w:r w:rsidR="00D14D2D">
          <w:rPr>
            <w:noProof/>
            <w:webHidden/>
          </w:rPr>
          <w:tab/>
        </w:r>
        <w:r w:rsidR="00D14D2D">
          <w:rPr>
            <w:noProof/>
            <w:webHidden/>
          </w:rPr>
          <w:fldChar w:fldCharType="begin"/>
        </w:r>
        <w:r w:rsidR="00D14D2D">
          <w:rPr>
            <w:noProof/>
            <w:webHidden/>
          </w:rPr>
          <w:instrText xml:space="preserve"> PAGEREF _Toc128330042 \h </w:instrText>
        </w:r>
        <w:r w:rsidR="00D14D2D">
          <w:rPr>
            <w:noProof/>
            <w:webHidden/>
          </w:rPr>
        </w:r>
        <w:r w:rsidR="00D14D2D">
          <w:rPr>
            <w:noProof/>
            <w:webHidden/>
          </w:rPr>
          <w:fldChar w:fldCharType="separate"/>
        </w:r>
        <w:r w:rsidR="00D14D2D">
          <w:rPr>
            <w:noProof/>
            <w:webHidden/>
          </w:rPr>
          <w:t>72</w:t>
        </w:r>
        <w:r w:rsidR="00D14D2D">
          <w:rPr>
            <w:noProof/>
            <w:webHidden/>
          </w:rPr>
          <w:fldChar w:fldCharType="end"/>
        </w:r>
      </w:hyperlink>
    </w:p>
    <w:p w14:paraId="12D48032" w14:textId="3EBA056B" w:rsidR="00D14D2D" w:rsidRDefault="00000000">
      <w:pPr>
        <w:pStyle w:val="TOC3"/>
        <w:tabs>
          <w:tab w:val="right" w:leader="dot" w:pos="9016"/>
        </w:tabs>
        <w:rPr>
          <w:rFonts w:eastAsiaTheme="minorEastAsia"/>
          <w:noProof/>
          <w:lang w:eastAsia="en-GB"/>
        </w:rPr>
      </w:pPr>
      <w:hyperlink w:anchor="_Toc128330043" w:history="1">
        <w:r w:rsidR="00D14D2D" w:rsidRPr="00531D9E">
          <w:rPr>
            <w:rStyle w:val="Hyperlink"/>
            <w:noProof/>
          </w:rPr>
          <w:t>Statements of Recommendation</w:t>
        </w:r>
        <w:r w:rsidR="00D14D2D">
          <w:rPr>
            <w:noProof/>
            <w:webHidden/>
          </w:rPr>
          <w:tab/>
        </w:r>
        <w:r w:rsidR="00D14D2D">
          <w:rPr>
            <w:noProof/>
            <w:webHidden/>
          </w:rPr>
          <w:fldChar w:fldCharType="begin"/>
        </w:r>
        <w:r w:rsidR="00D14D2D">
          <w:rPr>
            <w:noProof/>
            <w:webHidden/>
          </w:rPr>
          <w:instrText xml:space="preserve"> PAGEREF _Toc128330043 \h </w:instrText>
        </w:r>
        <w:r w:rsidR="00D14D2D">
          <w:rPr>
            <w:noProof/>
            <w:webHidden/>
          </w:rPr>
        </w:r>
        <w:r w:rsidR="00D14D2D">
          <w:rPr>
            <w:noProof/>
            <w:webHidden/>
          </w:rPr>
          <w:fldChar w:fldCharType="separate"/>
        </w:r>
        <w:r w:rsidR="00D14D2D">
          <w:rPr>
            <w:noProof/>
            <w:webHidden/>
          </w:rPr>
          <w:t>72</w:t>
        </w:r>
        <w:r w:rsidR="00D14D2D">
          <w:rPr>
            <w:noProof/>
            <w:webHidden/>
          </w:rPr>
          <w:fldChar w:fldCharType="end"/>
        </w:r>
      </w:hyperlink>
    </w:p>
    <w:p w14:paraId="7D46B6F5" w14:textId="23BEEEA4" w:rsidR="00D14D2D" w:rsidRDefault="00000000">
      <w:pPr>
        <w:pStyle w:val="TOC3"/>
        <w:tabs>
          <w:tab w:val="right" w:leader="dot" w:pos="9016"/>
        </w:tabs>
        <w:rPr>
          <w:rFonts w:eastAsiaTheme="minorEastAsia"/>
          <w:noProof/>
          <w:lang w:eastAsia="en-GB"/>
        </w:rPr>
      </w:pPr>
      <w:hyperlink w:anchor="_Toc128330044" w:history="1">
        <w:r w:rsidR="00D14D2D" w:rsidRPr="00531D9E">
          <w:rPr>
            <w:rStyle w:val="Hyperlink"/>
            <w:noProof/>
            <w:highlight w:val="white"/>
          </w:rPr>
          <w:t>Rationale</w:t>
        </w:r>
        <w:r w:rsidR="00D14D2D">
          <w:rPr>
            <w:noProof/>
            <w:webHidden/>
          </w:rPr>
          <w:tab/>
        </w:r>
        <w:r w:rsidR="00D14D2D">
          <w:rPr>
            <w:noProof/>
            <w:webHidden/>
          </w:rPr>
          <w:fldChar w:fldCharType="begin"/>
        </w:r>
        <w:r w:rsidR="00D14D2D">
          <w:rPr>
            <w:noProof/>
            <w:webHidden/>
          </w:rPr>
          <w:instrText xml:space="preserve"> PAGEREF _Toc128330044 \h </w:instrText>
        </w:r>
        <w:r w:rsidR="00D14D2D">
          <w:rPr>
            <w:noProof/>
            <w:webHidden/>
          </w:rPr>
        </w:r>
        <w:r w:rsidR="00D14D2D">
          <w:rPr>
            <w:noProof/>
            <w:webHidden/>
          </w:rPr>
          <w:fldChar w:fldCharType="separate"/>
        </w:r>
        <w:r w:rsidR="00D14D2D">
          <w:rPr>
            <w:noProof/>
            <w:webHidden/>
          </w:rPr>
          <w:t>73</w:t>
        </w:r>
        <w:r w:rsidR="00D14D2D">
          <w:rPr>
            <w:noProof/>
            <w:webHidden/>
          </w:rPr>
          <w:fldChar w:fldCharType="end"/>
        </w:r>
      </w:hyperlink>
    </w:p>
    <w:p w14:paraId="1CE5C912" w14:textId="5C157D5D" w:rsidR="00D14D2D" w:rsidRDefault="00000000">
      <w:pPr>
        <w:pStyle w:val="TOC3"/>
        <w:tabs>
          <w:tab w:val="right" w:leader="dot" w:pos="9016"/>
        </w:tabs>
        <w:rPr>
          <w:rFonts w:eastAsiaTheme="minorEastAsia"/>
          <w:noProof/>
          <w:lang w:eastAsia="en-GB"/>
        </w:rPr>
      </w:pPr>
      <w:hyperlink w:anchor="_Toc128330045" w:history="1">
        <w:r w:rsidR="00D14D2D" w:rsidRPr="00531D9E">
          <w:rPr>
            <w:rStyle w:val="Hyperlink"/>
            <w:noProof/>
            <w:highlight w:val="white"/>
          </w:rPr>
          <w:t>References</w:t>
        </w:r>
        <w:r w:rsidR="00D14D2D">
          <w:rPr>
            <w:noProof/>
            <w:webHidden/>
          </w:rPr>
          <w:tab/>
        </w:r>
        <w:r w:rsidR="00D14D2D">
          <w:rPr>
            <w:noProof/>
            <w:webHidden/>
          </w:rPr>
          <w:fldChar w:fldCharType="begin"/>
        </w:r>
        <w:r w:rsidR="00D14D2D">
          <w:rPr>
            <w:noProof/>
            <w:webHidden/>
          </w:rPr>
          <w:instrText xml:space="preserve"> PAGEREF _Toc128330045 \h </w:instrText>
        </w:r>
        <w:r w:rsidR="00D14D2D">
          <w:rPr>
            <w:noProof/>
            <w:webHidden/>
          </w:rPr>
        </w:r>
        <w:r w:rsidR="00D14D2D">
          <w:rPr>
            <w:noProof/>
            <w:webHidden/>
          </w:rPr>
          <w:fldChar w:fldCharType="separate"/>
        </w:r>
        <w:r w:rsidR="00D14D2D">
          <w:rPr>
            <w:noProof/>
            <w:webHidden/>
          </w:rPr>
          <w:t>73</w:t>
        </w:r>
        <w:r w:rsidR="00D14D2D">
          <w:rPr>
            <w:noProof/>
            <w:webHidden/>
          </w:rPr>
          <w:fldChar w:fldCharType="end"/>
        </w:r>
      </w:hyperlink>
    </w:p>
    <w:p w14:paraId="365F78F4" w14:textId="7BD043AE" w:rsidR="00D14D2D" w:rsidRDefault="00000000">
      <w:pPr>
        <w:pStyle w:val="TOC2"/>
        <w:tabs>
          <w:tab w:val="right" w:leader="dot" w:pos="9016"/>
        </w:tabs>
        <w:rPr>
          <w:rFonts w:eastAsiaTheme="minorEastAsia"/>
          <w:noProof/>
          <w:lang w:eastAsia="en-GB"/>
        </w:rPr>
      </w:pPr>
      <w:hyperlink w:anchor="_Toc128330046" w:history="1">
        <w:r w:rsidR="00D14D2D" w:rsidRPr="00531D9E">
          <w:rPr>
            <w:rStyle w:val="Hyperlink"/>
            <w:noProof/>
          </w:rPr>
          <w:t>9.2 BK Virus and Nephropathy</w:t>
        </w:r>
        <w:r w:rsidR="00D14D2D">
          <w:rPr>
            <w:noProof/>
            <w:webHidden/>
          </w:rPr>
          <w:tab/>
        </w:r>
        <w:r w:rsidR="00D14D2D">
          <w:rPr>
            <w:noProof/>
            <w:webHidden/>
          </w:rPr>
          <w:fldChar w:fldCharType="begin"/>
        </w:r>
        <w:r w:rsidR="00D14D2D">
          <w:rPr>
            <w:noProof/>
            <w:webHidden/>
          </w:rPr>
          <w:instrText xml:space="preserve"> PAGEREF _Toc128330046 \h </w:instrText>
        </w:r>
        <w:r w:rsidR="00D14D2D">
          <w:rPr>
            <w:noProof/>
            <w:webHidden/>
          </w:rPr>
        </w:r>
        <w:r w:rsidR="00D14D2D">
          <w:rPr>
            <w:noProof/>
            <w:webHidden/>
          </w:rPr>
          <w:fldChar w:fldCharType="separate"/>
        </w:r>
        <w:r w:rsidR="00D14D2D">
          <w:rPr>
            <w:noProof/>
            <w:webHidden/>
          </w:rPr>
          <w:t>74</w:t>
        </w:r>
        <w:r w:rsidR="00D14D2D">
          <w:rPr>
            <w:noProof/>
            <w:webHidden/>
          </w:rPr>
          <w:fldChar w:fldCharType="end"/>
        </w:r>
      </w:hyperlink>
    </w:p>
    <w:p w14:paraId="07AFF213" w14:textId="1674FADD" w:rsidR="00D14D2D" w:rsidRDefault="00000000">
      <w:pPr>
        <w:pStyle w:val="TOC3"/>
        <w:tabs>
          <w:tab w:val="right" w:leader="dot" w:pos="9016"/>
        </w:tabs>
        <w:rPr>
          <w:rFonts w:eastAsiaTheme="minorEastAsia"/>
          <w:noProof/>
          <w:lang w:eastAsia="en-GB"/>
        </w:rPr>
      </w:pPr>
      <w:hyperlink w:anchor="_Toc128330047" w:history="1">
        <w:r w:rsidR="00D14D2D" w:rsidRPr="00531D9E">
          <w:rPr>
            <w:rStyle w:val="Hyperlink"/>
            <w:noProof/>
          </w:rPr>
          <w:t>Statements of Recommendation</w:t>
        </w:r>
        <w:r w:rsidR="00D14D2D">
          <w:rPr>
            <w:noProof/>
            <w:webHidden/>
          </w:rPr>
          <w:tab/>
        </w:r>
        <w:r w:rsidR="00D14D2D">
          <w:rPr>
            <w:noProof/>
            <w:webHidden/>
          </w:rPr>
          <w:fldChar w:fldCharType="begin"/>
        </w:r>
        <w:r w:rsidR="00D14D2D">
          <w:rPr>
            <w:noProof/>
            <w:webHidden/>
          </w:rPr>
          <w:instrText xml:space="preserve"> PAGEREF _Toc128330047 \h </w:instrText>
        </w:r>
        <w:r w:rsidR="00D14D2D">
          <w:rPr>
            <w:noProof/>
            <w:webHidden/>
          </w:rPr>
        </w:r>
        <w:r w:rsidR="00D14D2D">
          <w:rPr>
            <w:noProof/>
            <w:webHidden/>
          </w:rPr>
          <w:fldChar w:fldCharType="separate"/>
        </w:r>
        <w:r w:rsidR="00D14D2D">
          <w:rPr>
            <w:noProof/>
            <w:webHidden/>
          </w:rPr>
          <w:t>74</w:t>
        </w:r>
        <w:r w:rsidR="00D14D2D">
          <w:rPr>
            <w:noProof/>
            <w:webHidden/>
          </w:rPr>
          <w:fldChar w:fldCharType="end"/>
        </w:r>
      </w:hyperlink>
    </w:p>
    <w:p w14:paraId="03E676AF" w14:textId="37186CDA" w:rsidR="00D14D2D" w:rsidRDefault="00000000">
      <w:pPr>
        <w:pStyle w:val="TOC3"/>
        <w:tabs>
          <w:tab w:val="right" w:leader="dot" w:pos="9016"/>
        </w:tabs>
        <w:rPr>
          <w:rFonts w:eastAsiaTheme="minorEastAsia"/>
          <w:noProof/>
          <w:lang w:eastAsia="en-GB"/>
        </w:rPr>
      </w:pPr>
      <w:hyperlink w:anchor="_Toc128330048" w:history="1">
        <w:r w:rsidR="00D14D2D" w:rsidRPr="00531D9E">
          <w:rPr>
            <w:rStyle w:val="Hyperlink"/>
            <w:noProof/>
          </w:rPr>
          <w:t>Rationale</w:t>
        </w:r>
        <w:r w:rsidR="00D14D2D">
          <w:rPr>
            <w:noProof/>
            <w:webHidden/>
          </w:rPr>
          <w:tab/>
        </w:r>
        <w:r w:rsidR="00D14D2D">
          <w:rPr>
            <w:noProof/>
            <w:webHidden/>
          </w:rPr>
          <w:fldChar w:fldCharType="begin"/>
        </w:r>
        <w:r w:rsidR="00D14D2D">
          <w:rPr>
            <w:noProof/>
            <w:webHidden/>
          </w:rPr>
          <w:instrText xml:space="preserve"> PAGEREF _Toc128330048 \h </w:instrText>
        </w:r>
        <w:r w:rsidR="00D14D2D">
          <w:rPr>
            <w:noProof/>
            <w:webHidden/>
          </w:rPr>
        </w:r>
        <w:r w:rsidR="00D14D2D">
          <w:rPr>
            <w:noProof/>
            <w:webHidden/>
          </w:rPr>
          <w:fldChar w:fldCharType="separate"/>
        </w:r>
        <w:r w:rsidR="00D14D2D">
          <w:rPr>
            <w:noProof/>
            <w:webHidden/>
          </w:rPr>
          <w:t>74</w:t>
        </w:r>
        <w:r w:rsidR="00D14D2D">
          <w:rPr>
            <w:noProof/>
            <w:webHidden/>
          </w:rPr>
          <w:fldChar w:fldCharType="end"/>
        </w:r>
      </w:hyperlink>
    </w:p>
    <w:p w14:paraId="3B63B865" w14:textId="11F1F530" w:rsidR="00D14D2D" w:rsidRDefault="00000000">
      <w:pPr>
        <w:pStyle w:val="TOC3"/>
        <w:tabs>
          <w:tab w:val="right" w:leader="dot" w:pos="9016"/>
        </w:tabs>
        <w:rPr>
          <w:rFonts w:eastAsiaTheme="minorEastAsia"/>
          <w:noProof/>
          <w:lang w:eastAsia="en-GB"/>
        </w:rPr>
      </w:pPr>
      <w:hyperlink w:anchor="_Toc128330049" w:history="1">
        <w:r w:rsidR="00D14D2D" w:rsidRPr="00531D9E">
          <w:rPr>
            <w:rStyle w:val="Hyperlink"/>
            <w:noProof/>
            <w:highlight w:val="white"/>
          </w:rPr>
          <w:t>References</w:t>
        </w:r>
        <w:r w:rsidR="00D14D2D">
          <w:rPr>
            <w:noProof/>
            <w:webHidden/>
          </w:rPr>
          <w:tab/>
        </w:r>
        <w:r w:rsidR="00D14D2D">
          <w:rPr>
            <w:noProof/>
            <w:webHidden/>
          </w:rPr>
          <w:fldChar w:fldCharType="begin"/>
        </w:r>
        <w:r w:rsidR="00D14D2D">
          <w:rPr>
            <w:noProof/>
            <w:webHidden/>
          </w:rPr>
          <w:instrText xml:space="preserve"> PAGEREF _Toc128330049 \h </w:instrText>
        </w:r>
        <w:r w:rsidR="00D14D2D">
          <w:rPr>
            <w:noProof/>
            <w:webHidden/>
          </w:rPr>
        </w:r>
        <w:r w:rsidR="00D14D2D">
          <w:rPr>
            <w:noProof/>
            <w:webHidden/>
          </w:rPr>
          <w:fldChar w:fldCharType="separate"/>
        </w:r>
        <w:r w:rsidR="00D14D2D">
          <w:rPr>
            <w:noProof/>
            <w:webHidden/>
          </w:rPr>
          <w:t>75</w:t>
        </w:r>
        <w:r w:rsidR="00D14D2D">
          <w:rPr>
            <w:noProof/>
            <w:webHidden/>
          </w:rPr>
          <w:fldChar w:fldCharType="end"/>
        </w:r>
      </w:hyperlink>
    </w:p>
    <w:p w14:paraId="7BA5C398" w14:textId="382546CE" w:rsidR="00D14D2D" w:rsidRDefault="00000000">
      <w:pPr>
        <w:pStyle w:val="TOC2"/>
        <w:tabs>
          <w:tab w:val="right" w:leader="dot" w:pos="9016"/>
        </w:tabs>
        <w:rPr>
          <w:rFonts w:eastAsiaTheme="minorEastAsia"/>
          <w:noProof/>
          <w:lang w:eastAsia="en-GB"/>
        </w:rPr>
      </w:pPr>
      <w:hyperlink w:anchor="_Toc128330050" w:history="1">
        <w:r w:rsidR="00D14D2D" w:rsidRPr="00531D9E">
          <w:rPr>
            <w:rStyle w:val="Hyperlink"/>
            <w:noProof/>
          </w:rPr>
          <w:t>9.3 Recurrent Primary Disease</w:t>
        </w:r>
        <w:r w:rsidR="00D14D2D">
          <w:rPr>
            <w:noProof/>
            <w:webHidden/>
          </w:rPr>
          <w:tab/>
        </w:r>
        <w:r w:rsidR="00D14D2D">
          <w:rPr>
            <w:noProof/>
            <w:webHidden/>
          </w:rPr>
          <w:fldChar w:fldCharType="begin"/>
        </w:r>
        <w:r w:rsidR="00D14D2D">
          <w:rPr>
            <w:noProof/>
            <w:webHidden/>
          </w:rPr>
          <w:instrText xml:space="preserve"> PAGEREF _Toc128330050 \h </w:instrText>
        </w:r>
        <w:r w:rsidR="00D14D2D">
          <w:rPr>
            <w:noProof/>
            <w:webHidden/>
          </w:rPr>
        </w:r>
        <w:r w:rsidR="00D14D2D">
          <w:rPr>
            <w:noProof/>
            <w:webHidden/>
          </w:rPr>
          <w:fldChar w:fldCharType="separate"/>
        </w:r>
        <w:r w:rsidR="00D14D2D">
          <w:rPr>
            <w:noProof/>
            <w:webHidden/>
          </w:rPr>
          <w:t>75</w:t>
        </w:r>
        <w:r w:rsidR="00D14D2D">
          <w:rPr>
            <w:noProof/>
            <w:webHidden/>
          </w:rPr>
          <w:fldChar w:fldCharType="end"/>
        </w:r>
      </w:hyperlink>
    </w:p>
    <w:p w14:paraId="214D944F" w14:textId="103AC6AB" w:rsidR="00D14D2D" w:rsidRDefault="00000000">
      <w:pPr>
        <w:pStyle w:val="TOC3"/>
        <w:tabs>
          <w:tab w:val="right" w:leader="dot" w:pos="9016"/>
        </w:tabs>
        <w:rPr>
          <w:rFonts w:eastAsiaTheme="minorEastAsia"/>
          <w:noProof/>
          <w:lang w:eastAsia="en-GB"/>
        </w:rPr>
      </w:pPr>
      <w:hyperlink w:anchor="_Toc128330051" w:history="1">
        <w:r w:rsidR="00D14D2D" w:rsidRPr="00531D9E">
          <w:rPr>
            <w:rStyle w:val="Hyperlink"/>
            <w:noProof/>
          </w:rPr>
          <w:t>Statements of Recommendation</w:t>
        </w:r>
        <w:r w:rsidR="00D14D2D">
          <w:rPr>
            <w:noProof/>
            <w:webHidden/>
          </w:rPr>
          <w:tab/>
        </w:r>
        <w:r w:rsidR="00D14D2D">
          <w:rPr>
            <w:noProof/>
            <w:webHidden/>
          </w:rPr>
          <w:fldChar w:fldCharType="begin"/>
        </w:r>
        <w:r w:rsidR="00D14D2D">
          <w:rPr>
            <w:noProof/>
            <w:webHidden/>
          </w:rPr>
          <w:instrText xml:space="preserve"> PAGEREF _Toc128330051 \h </w:instrText>
        </w:r>
        <w:r w:rsidR="00D14D2D">
          <w:rPr>
            <w:noProof/>
            <w:webHidden/>
          </w:rPr>
        </w:r>
        <w:r w:rsidR="00D14D2D">
          <w:rPr>
            <w:noProof/>
            <w:webHidden/>
          </w:rPr>
          <w:fldChar w:fldCharType="separate"/>
        </w:r>
        <w:r w:rsidR="00D14D2D">
          <w:rPr>
            <w:noProof/>
            <w:webHidden/>
          </w:rPr>
          <w:t>75</w:t>
        </w:r>
        <w:r w:rsidR="00D14D2D">
          <w:rPr>
            <w:noProof/>
            <w:webHidden/>
          </w:rPr>
          <w:fldChar w:fldCharType="end"/>
        </w:r>
      </w:hyperlink>
    </w:p>
    <w:p w14:paraId="383F585E" w14:textId="51ABECD0" w:rsidR="00D14D2D" w:rsidRDefault="00000000">
      <w:pPr>
        <w:pStyle w:val="TOC3"/>
        <w:tabs>
          <w:tab w:val="right" w:leader="dot" w:pos="9016"/>
        </w:tabs>
        <w:rPr>
          <w:rFonts w:eastAsiaTheme="minorEastAsia"/>
          <w:noProof/>
          <w:lang w:eastAsia="en-GB"/>
        </w:rPr>
      </w:pPr>
      <w:hyperlink w:anchor="_Toc128330052" w:history="1">
        <w:r w:rsidR="00D14D2D" w:rsidRPr="00531D9E">
          <w:rPr>
            <w:rStyle w:val="Hyperlink"/>
            <w:noProof/>
          </w:rPr>
          <w:t>Rationale</w:t>
        </w:r>
        <w:r w:rsidR="00D14D2D">
          <w:rPr>
            <w:noProof/>
            <w:webHidden/>
          </w:rPr>
          <w:tab/>
        </w:r>
        <w:r w:rsidR="00D14D2D">
          <w:rPr>
            <w:noProof/>
            <w:webHidden/>
          </w:rPr>
          <w:fldChar w:fldCharType="begin"/>
        </w:r>
        <w:r w:rsidR="00D14D2D">
          <w:rPr>
            <w:noProof/>
            <w:webHidden/>
          </w:rPr>
          <w:instrText xml:space="preserve"> PAGEREF _Toc128330052 \h </w:instrText>
        </w:r>
        <w:r w:rsidR="00D14D2D">
          <w:rPr>
            <w:noProof/>
            <w:webHidden/>
          </w:rPr>
        </w:r>
        <w:r w:rsidR="00D14D2D">
          <w:rPr>
            <w:noProof/>
            <w:webHidden/>
          </w:rPr>
          <w:fldChar w:fldCharType="separate"/>
        </w:r>
        <w:r w:rsidR="00D14D2D">
          <w:rPr>
            <w:noProof/>
            <w:webHidden/>
          </w:rPr>
          <w:t>76</w:t>
        </w:r>
        <w:r w:rsidR="00D14D2D">
          <w:rPr>
            <w:noProof/>
            <w:webHidden/>
          </w:rPr>
          <w:fldChar w:fldCharType="end"/>
        </w:r>
      </w:hyperlink>
    </w:p>
    <w:p w14:paraId="712DD46E" w14:textId="210F8DAF" w:rsidR="00D14D2D" w:rsidRDefault="00000000">
      <w:pPr>
        <w:pStyle w:val="TOC3"/>
        <w:tabs>
          <w:tab w:val="right" w:leader="dot" w:pos="9016"/>
        </w:tabs>
        <w:rPr>
          <w:rFonts w:eastAsiaTheme="minorEastAsia"/>
          <w:noProof/>
          <w:lang w:eastAsia="en-GB"/>
        </w:rPr>
      </w:pPr>
      <w:hyperlink w:anchor="_Toc128330053" w:history="1">
        <w:r w:rsidR="00D14D2D" w:rsidRPr="00531D9E">
          <w:rPr>
            <w:rStyle w:val="Hyperlink"/>
            <w:noProof/>
          </w:rPr>
          <w:t>References</w:t>
        </w:r>
        <w:r w:rsidR="00D14D2D">
          <w:rPr>
            <w:noProof/>
            <w:webHidden/>
          </w:rPr>
          <w:tab/>
        </w:r>
        <w:r w:rsidR="00D14D2D">
          <w:rPr>
            <w:noProof/>
            <w:webHidden/>
          </w:rPr>
          <w:fldChar w:fldCharType="begin"/>
        </w:r>
        <w:r w:rsidR="00D14D2D">
          <w:rPr>
            <w:noProof/>
            <w:webHidden/>
          </w:rPr>
          <w:instrText xml:space="preserve"> PAGEREF _Toc128330053 \h </w:instrText>
        </w:r>
        <w:r w:rsidR="00D14D2D">
          <w:rPr>
            <w:noProof/>
            <w:webHidden/>
          </w:rPr>
        </w:r>
        <w:r w:rsidR="00D14D2D">
          <w:rPr>
            <w:noProof/>
            <w:webHidden/>
          </w:rPr>
          <w:fldChar w:fldCharType="separate"/>
        </w:r>
        <w:r w:rsidR="00D14D2D">
          <w:rPr>
            <w:noProof/>
            <w:webHidden/>
          </w:rPr>
          <w:t>78</w:t>
        </w:r>
        <w:r w:rsidR="00D14D2D">
          <w:rPr>
            <w:noProof/>
            <w:webHidden/>
          </w:rPr>
          <w:fldChar w:fldCharType="end"/>
        </w:r>
      </w:hyperlink>
    </w:p>
    <w:p w14:paraId="063B6857" w14:textId="433F3CCE" w:rsidR="00D14D2D" w:rsidRDefault="00000000">
      <w:pPr>
        <w:pStyle w:val="TOC1"/>
        <w:tabs>
          <w:tab w:val="right" w:leader="dot" w:pos="9016"/>
        </w:tabs>
        <w:rPr>
          <w:rFonts w:eastAsiaTheme="minorEastAsia"/>
          <w:noProof/>
          <w:lang w:eastAsia="en-GB"/>
        </w:rPr>
      </w:pPr>
      <w:hyperlink w:anchor="_Toc128330054" w:history="1">
        <w:r w:rsidR="00D14D2D" w:rsidRPr="00531D9E">
          <w:rPr>
            <w:rStyle w:val="Hyperlink"/>
            <w:noProof/>
          </w:rPr>
          <w:t xml:space="preserve">10 </w:t>
        </w:r>
        <w:r w:rsidR="00D14D2D" w:rsidRPr="00531D9E">
          <w:rPr>
            <w:rStyle w:val="Hyperlink"/>
            <w:caps/>
            <w:noProof/>
          </w:rPr>
          <w:t>Patient involvement and options for Renal Replacement Therapy</w:t>
        </w:r>
        <w:r w:rsidR="00D14D2D">
          <w:rPr>
            <w:noProof/>
            <w:webHidden/>
          </w:rPr>
          <w:tab/>
        </w:r>
        <w:r w:rsidR="00D14D2D">
          <w:rPr>
            <w:noProof/>
            <w:webHidden/>
          </w:rPr>
          <w:fldChar w:fldCharType="begin"/>
        </w:r>
        <w:r w:rsidR="00D14D2D">
          <w:rPr>
            <w:noProof/>
            <w:webHidden/>
          </w:rPr>
          <w:instrText xml:space="preserve"> PAGEREF _Toc128330054 \h </w:instrText>
        </w:r>
        <w:r w:rsidR="00D14D2D">
          <w:rPr>
            <w:noProof/>
            <w:webHidden/>
          </w:rPr>
        </w:r>
        <w:r w:rsidR="00D14D2D">
          <w:rPr>
            <w:noProof/>
            <w:webHidden/>
          </w:rPr>
          <w:fldChar w:fldCharType="separate"/>
        </w:r>
        <w:r w:rsidR="00D14D2D">
          <w:rPr>
            <w:noProof/>
            <w:webHidden/>
          </w:rPr>
          <w:t>79</w:t>
        </w:r>
        <w:r w:rsidR="00D14D2D">
          <w:rPr>
            <w:noProof/>
            <w:webHidden/>
          </w:rPr>
          <w:fldChar w:fldCharType="end"/>
        </w:r>
      </w:hyperlink>
    </w:p>
    <w:p w14:paraId="301E8622" w14:textId="32664DC2" w:rsidR="00D14D2D" w:rsidRDefault="00000000">
      <w:pPr>
        <w:pStyle w:val="TOC1"/>
        <w:tabs>
          <w:tab w:val="right" w:leader="dot" w:pos="9016"/>
        </w:tabs>
        <w:rPr>
          <w:rFonts w:eastAsiaTheme="minorEastAsia"/>
          <w:noProof/>
          <w:lang w:eastAsia="en-GB"/>
        </w:rPr>
      </w:pPr>
      <w:hyperlink w:anchor="_Toc128330055" w:history="1">
        <w:r w:rsidR="00D14D2D" w:rsidRPr="00531D9E">
          <w:rPr>
            <w:rStyle w:val="Hyperlink"/>
            <w:rFonts w:eastAsia="Times New Roman"/>
            <w:noProof/>
            <w:bdr w:val="none" w:sz="0" w:space="0" w:color="auto" w:frame="1"/>
          </w:rPr>
          <w:t>Statements of recommendation</w:t>
        </w:r>
        <w:r w:rsidR="00D14D2D">
          <w:rPr>
            <w:noProof/>
            <w:webHidden/>
          </w:rPr>
          <w:tab/>
        </w:r>
        <w:r w:rsidR="00D14D2D">
          <w:rPr>
            <w:noProof/>
            <w:webHidden/>
          </w:rPr>
          <w:fldChar w:fldCharType="begin"/>
        </w:r>
        <w:r w:rsidR="00D14D2D">
          <w:rPr>
            <w:noProof/>
            <w:webHidden/>
          </w:rPr>
          <w:instrText xml:space="preserve"> PAGEREF _Toc128330055 \h </w:instrText>
        </w:r>
        <w:r w:rsidR="00D14D2D">
          <w:rPr>
            <w:noProof/>
            <w:webHidden/>
          </w:rPr>
        </w:r>
        <w:r w:rsidR="00D14D2D">
          <w:rPr>
            <w:noProof/>
            <w:webHidden/>
          </w:rPr>
          <w:fldChar w:fldCharType="separate"/>
        </w:r>
        <w:r w:rsidR="00D14D2D">
          <w:rPr>
            <w:noProof/>
            <w:webHidden/>
          </w:rPr>
          <w:t>79</w:t>
        </w:r>
        <w:r w:rsidR="00D14D2D">
          <w:rPr>
            <w:noProof/>
            <w:webHidden/>
          </w:rPr>
          <w:fldChar w:fldCharType="end"/>
        </w:r>
      </w:hyperlink>
    </w:p>
    <w:p w14:paraId="1E0C867E" w14:textId="5BF99D2C" w:rsidR="00D14D2D" w:rsidRDefault="00000000">
      <w:pPr>
        <w:pStyle w:val="TOC2"/>
        <w:tabs>
          <w:tab w:val="right" w:leader="dot" w:pos="9016"/>
        </w:tabs>
        <w:rPr>
          <w:rFonts w:eastAsiaTheme="minorEastAsia"/>
          <w:noProof/>
          <w:lang w:eastAsia="en-GB"/>
        </w:rPr>
      </w:pPr>
      <w:hyperlink w:anchor="_Toc128330056" w:history="1">
        <w:r w:rsidR="00D14D2D" w:rsidRPr="00531D9E">
          <w:rPr>
            <w:rStyle w:val="Hyperlink"/>
            <w:rFonts w:eastAsia="Times New Roman"/>
            <w:noProof/>
            <w:bdr w:val="none" w:sz="0" w:space="0" w:color="auto" w:frame="1"/>
          </w:rPr>
          <w:t>Rationale</w:t>
        </w:r>
        <w:r w:rsidR="00D14D2D">
          <w:rPr>
            <w:noProof/>
            <w:webHidden/>
          </w:rPr>
          <w:tab/>
        </w:r>
        <w:r w:rsidR="00D14D2D">
          <w:rPr>
            <w:noProof/>
            <w:webHidden/>
          </w:rPr>
          <w:fldChar w:fldCharType="begin"/>
        </w:r>
        <w:r w:rsidR="00D14D2D">
          <w:rPr>
            <w:noProof/>
            <w:webHidden/>
          </w:rPr>
          <w:instrText xml:space="preserve"> PAGEREF _Toc128330056 \h </w:instrText>
        </w:r>
        <w:r w:rsidR="00D14D2D">
          <w:rPr>
            <w:noProof/>
            <w:webHidden/>
          </w:rPr>
        </w:r>
        <w:r w:rsidR="00D14D2D">
          <w:rPr>
            <w:noProof/>
            <w:webHidden/>
          </w:rPr>
          <w:fldChar w:fldCharType="separate"/>
        </w:r>
        <w:r w:rsidR="00D14D2D">
          <w:rPr>
            <w:noProof/>
            <w:webHidden/>
          </w:rPr>
          <w:t>79</w:t>
        </w:r>
        <w:r w:rsidR="00D14D2D">
          <w:rPr>
            <w:noProof/>
            <w:webHidden/>
          </w:rPr>
          <w:fldChar w:fldCharType="end"/>
        </w:r>
      </w:hyperlink>
    </w:p>
    <w:p w14:paraId="619055D4" w14:textId="5F258004" w:rsidR="00D14D2D" w:rsidRDefault="00000000">
      <w:pPr>
        <w:pStyle w:val="TOC3"/>
        <w:tabs>
          <w:tab w:val="right" w:leader="dot" w:pos="9016"/>
        </w:tabs>
        <w:rPr>
          <w:rFonts w:eastAsiaTheme="minorEastAsia"/>
          <w:noProof/>
          <w:lang w:eastAsia="en-GB"/>
        </w:rPr>
      </w:pPr>
      <w:hyperlink w:anchor="_Toc128330057" w:history="1">
        <w:r w:rsidR="00D14D2D" w:rsidRPr="00531D9E">
          <w:rPr>
            <w:rStyle w:val="Hyperlink"/>
            <w:noProof/>
          </w:rPr>
          <w:t>10.1 Introduction</w:t>
        </w:r>
        <w:r w:rsidR="00D14D2D">
          <w:rPr>
            <w:noProof/>
            <w:webHidden/>
          </w:rPr>
          <w:tab/>
        </w:r>
        <w:r w:rsidR="00D14D2D">
          <w:rPr>
            <w:noProof/>
            <w:webHidden/>
          </w:rPr>
          <w:fldChar w:fldCharType="begin"/>
        </w:r>
        <w:r w:rsidR="00D14D2D">
          <w:rPr>
            <w:noProof/>
            <w:webHidden/>
          </w:rPr>
          <w:instrText xml:space="preserve"> PAGEREF _Toc128330057 \h </w:instrText>
        </w:r>
        <w:r w:rsidR="00D14D2D">
          <w:rPr>
            <w:noProof/>
            <w:webHidden/>
          </w:rPr>
        </w:r>
        <w:r w:rsidR="00D14D2D">
          <w:rPr>
            <w:noProof/>
            <w:webHidden/>
          </w:rPr>
          <w:fldChar w:fldCharType="separate"/>
        </w:r>
        <w:r w:rsidR="00D14D2D">
          <w:rPr>
            <w:noProof/>
            <w:webHidden/>
          </w:rPr>
          <w:t>79</w:t>
        </w:r>
        <w:r w:rsidR="00D14D2D">
          <w:rPr>
            <w:noProof/>
            <w:webHidden/>
          </w:rPr>
          <w:fldChar w:fldCharType="end"/>
        </w:r>
      </w:hyperlink>
    </w:p>
    <w:p w14:paraId="79399FD9" w14:textId="194D24F4" w:rsidR="00D14D2D" w:rsidRDefault="00000000">
      <w:pPr>
        <w:pStyle w:val="TOC3"/>
        <w:tabs>
          <w:tab w:val="left" w:pos="1100"/>
          <w:tab w:val="right" w:leader="dot" w:pos="9016"/>
        </w:tabs>
        <w:rPr>
          <w:rFonts w:eastAsiaTheme="minorEastAsia"/>
          <w:noProof/>
          <w:lang w:eastAsia="en-GB"/>
        </w:rPr>
      </w:pPr>
      <w:hyperlink w:anchor="_Toc128330058" w:history="1">
        <w:r w:rsidR="00D14D2D" w:rsidRPr="00531D9E">
          <w:rPr>
            <w:rStyle w:val="Hyperlink"/>
            <w:noProof/>
          </w:rPr>
          <w:t>10.2</w:t>
        </w:r>
        <w:r w:rsidR="00D14D2D">
          <w:rPr>
            <w:rFonts w:eastAsiaTheme="minorEastAsia"/>
            <w:noProof/>
            <w:lang w:eastAsia="en-GB"/>
          </w:rPr>
          <w:tab/>
        </w:r>
        <w:r w:rsidR="00D14D2D" w:rsidRPr="00531D9E">
          <w:rPr>
            <w:rStyle w:val="Hyperlink"/>
            <w:noProof/>
          </w:rPr>
          <w:t>Patient involvement</w:t>
        </w:r>
        <w:r w:rsidR="00D14D2D">
          <w:rPr>
            <w:noProof/>
            <w:webHidden/>
          </w:rPr>
          <w:tab/>
        </w:r>
        <w:r w:rsidR="00D14D2D">
          <w:rPr>
            <w:noProof/>
            <w:webHidden/>
          </w:rPr>
          <w:fldChar w:fldCharType="begin"/>
        </w:r>
        <w:r w:rsidR="00D14D2D">
          <w:rPr>
            <w:noProof/>
            <w:webHidden/>
          </w:rPr>
          <w:instrText xml:space="preserve"> PAGEREF _Toc128330058 \h </w:instrText>
        </w:r>
        <w:r w:rsidR="00D14D2D">
          <w:rPr>
            <w:noProof/>
            <w:webHidden/>
          </w:rPr>
        </w:r>
        <w:r w:rsidR="00D14D2D">
          <w:rPr>
            <w:noProof/>
            <w:webHidden/>
          </w:rPr>
          <w:fldChar w:fldCharType="separate"/>
        </w:r>
        <w:r w:rsidR="00D14D2D">
          <w:rPr>
            <w:noProof/>
            <w:webHidden/>
          </w:rPr>
          <w:t>80</w:t>
        </w:r>
        <w:r w:rsidR="00D14D2D">
          <w:rPr>
            <w:noProof/>
            <w:webHidden/>
          </w:rPr>
          <w:fldChar w:fldCharType="end"/>
        </w:r>
      </w:hyperlink>
    </w:p>
    <w:p w14:paraId="32B62F02" w14:textId="65B1C552" w:rsidR="00D14D2D" w:rsidRDefault="00000000">
      <w:pPr>
        <w:pStyle w:val="TOC3"/>
        <w:tabs>
          <w:tab w:val="left" w:pos="1100"/>
          <w:tab w:val="right" w:leader="dot" w:pos="9016"/>
        </w:tabs>
        <w:rPr>
          <w:rFonts w:eastAsiaTheme="minorEastAsia"/>
          <w:noProof/>
          <w:lang w:eastAsia="en-GB"/>
        </w:rPr>
      </w:pPr>
      <w:hyperlink w:anchor="_Toc128330059" w:history="1">
        <w:r w:rsidR="00D14D2D" w:rsidRPr="00531D9E">
          <w:rPr>
            <w:rStyle w:val="Hyperlink"/>
            <w:noProof/>
          </w:rPr>
          <w:t>10.3</w:t>
        </w:r>
        <w:r w:rsidR="00D14D2D">
          <w:rPr>
            <w:rFonts w:eastAsiaTheme="minorEastAsia"/>
            <w:noProof/>
            <w:lang w:eastAsia="en-GB"/>
          </w:rPr>
          <w:tab/>
        </w:r>
        <w:r w:rsidR="00D14D2D" w:rsidRPr="00531D9E">
          <w:rPr>
            <w:rStyle w:val="Hyperlink"/>
            <w:noProof/>
          </w:rPr>
          <w:t>Physical, social and mental wellbeing</w:t>
        </w:r>
        <w:r w:rsidR="00D14D2D">
          <w:rPr>
            <w:noProof/>
            <w:webHidden/>
          </w:rPr>
          <w:tab/>
        </w:r>
        <w:r w:rsidR="00D14D2D">
          <w:rPr>
            <w:noProof/>
            <w:webHidden/>
          </w:rPr>
          <w:fldChar w:fldCharType="begin"/>
        </w:r>
        <w:r w:rsidR="00D14D2D">
          <w:rPr>
            <w:noProof/>
            <w:webHidden/>
          </w:rPr>
          <w:instrText xml:space="preserve"> PAGEREF _Toc128330059 \h </w:instrText>
        </w:r>
        <w:r w:rsidR="00D14D2D">
          <w:rPr>
            <w:noProof/>
            <w:webHidden/>
          </w:rPr>
        </w:r>
        <w:r w:rsidR="00D14D2D">
          <w:rPr>
            <w:noProof/>
            <w:webHidden/>
          </w:rPr>
          <w:fldChar w:fldCharType="separate"/>
        </w:r>
        <w:r w:rsidR="00D14D2D">
          <w:rPr>
            <w:noProof/>
            <w:webHidden/>
          </w:rPr>
          <w:t>80</w:t>
        </w:r>
        <w:r w:rsidR="00D14D2D">
          <w:rPr>
            <w:noProof/>
            <w:webHidden/>
          </w:rPr>
          <w:fldChar w:fldCharType="end"/>
        </w:r>
      </w:hyperlink>
    </w:p>
    <w:p w14:paraId="12363E37" w14:textId="3AAE61A1" w:rsidR="00D14D2D" w:rsidRDefault="00000000">
      <w:pPr>
        <w:pStyle w:val="TOC4"/>
        <w:tabs>
          <w:tab w:val="left" w:pos="1540"/>
          <w:tab w:val="right" w:leader="dot" w:pos="9016"/>
        </w:tabs>
        <w:rPr>
          <w:rFonts w:eastAsiaTheme="minorEastAsia"/>
          <w:noProof/>
          <w:lang w:eastAsia="en-GB"/>
        </w:rPr>
      </w:pPr>
      <w:hyperlink w:anchor="_Toc128330060" w:history="1">
        <w:r w:rsidR="00D14D2D" w:rsidRPr="00531D9E">
          <w:rPr>
            <w:rStyle w:val="Hyperlink"/>
            <w:noProof/>
          </w:rPr>
          <w:t xml:space="preserve">10.3.1 </w:t>
        </w:r>
        <w:r w:rsidR="00D14D2D">
          <w:rPr>
            <w:rFonts w:eastAsiaTheme="minorEastAsia"/>
            <w:noProof/>
            <w:lang w:eastAsia="en-GB"/>
          </w:rPr>
          <w:tab/>
        </w:r>
        <w:r w:rsidR="00D14D2D" w:rsidRPr="00531D9E">
          <w:rPr>
            <w:rStyle w:val="Hyperlink"/>
            <w:noProof/>
          </w:rPr>
          <w:t xml:space="preserve"> General Principles</w:t>
        </w:r>
        <w:r w:rsidR="00D14D2D">
          <w:rPr>
            <w:noProof/>
            <w:webHidden/>
          </w:rPr>
          <w:tab/>
        </w:r>
        <w:r w:rsidR="00D14D2D">
          <w:rPr>
            <w:noProof/>
            <w:webHidden/>
          </w:rPr>
          <w:fldChar w:fldCharType="begin"/>
        </w:r>
        <w:r w:rsidR="00D14D2D">
          <w:rPr>
            <w:noProof/>
            <w:webHidden/>
          </w:rPr>
          <w:instrText xml:space="preserve"> PAGEREF _Toc128330060 \h </w:instrText>
        </w:r>
        <w:r w:rsidR="00D14D2D">
          <w:rPr>
            <w:noProof/>
            <w:webHidden/>
          </w:rPr>
        </w:r>
        <w:r w:rsidR="00D14D2D">
          <w:rPr>
            <w:noProof/>
            <w:webHidden/>
          </w:rPr>
          <w:fldChar w:fldCharType="separate"/>
        </w:r>
        <w:r w:rsidR="00D14D2D">
          <w:rPr>
            <w:noProof/>
            <w:webHidden/>
          </w:rPr>
          <w:t>80</w:t>
        </w:r>
        <w:r w:rsidR="00D14D2D">
          <w:rPr>
            <w:noProof/>
            <w:webHidden/>
          </w:rPr>
          <w:fldChar w:fldCharType="end"/>
        </w:r>
      </w:hyperlink>
    </w:p>
    <w:p w14:paraId="45FD7954" w14:textId="64F3FE5E" w:rsidR="00D14D2D" w:rsidRDefault="00000000">
      <w:pPr>
        <w:pStyle w:val="TOC5"/>
        <w:tabs>
          <w:tab w:val="left" w:pos="1824"/>
          <w:tab w:val="right" w:leader="dot" w:pos="9016"/>
        </w:tabs>
        <w:rPr>
          <w:rFonts w:eastAsiaTheme="minorEastAsia"/>
          <w:noProof/>
          <w:lang w:eastAsia="en-GB"/>
        </w:rPr>
      </w:pPr>
      <w:hyperlink w:anchor="_Toc128330061" w:history="1">
        <w:r w:rsidR="00D14D2D" w:rsidRPr="00531D9E">
          <w:rPr>
            <w:rStyle w:val="Hyperlink"/>
            <w:noProof/>
          </w:rPr>
          <w:t>10.3.1.1</w:t>
        </w:r>
        <w:r w:rsidR="00D14D2D">
          <w:rPr>
            <w:rFonts w:eastAsiaTheme="minorEastAsia"/>
            <w:noProof/>
            <w:lang w:eastAsia="en-GB"/>
          </w:rPr>
          <w:tab/>
        </w:r>
        <w:r w:rsidR="00D14D2D" w:rsidRPr="00531D9E">
          <w:rPr>
            <w:rStyle w:val="Hyperlink"/>
            <w:noProof/>
          </w:rPr>
          <w:t xml:space="preserve"> Mental, Emotional &amp; Social Wellbeing</w:t>
        </w:r>
        <w:r w:rsidR="00D14D2D">
          <w:rPr>
            <w:noProof/>
            <w:webHidden/>
          </w:rPr>
          <w:tab/>
        </w:r>
        <w:r w:rsidR="00D14D2D">
          <w:rPr>
            <w:noProof/>
            <w:webHidden/>
          </w:rPr>
          <w:fldChar w:fldCharType="begin"/>
        </w:r>
        <w:r w:rsidR="00D14D2D">
          <w:rPr>
            <w:noProof/>
            <w:webHidden/>
          </w:rPr>
          <w:instrText xml:space="preserve"> PAGEREF _Toc128330061 \h </w:instrText>
        </w:r>
        <w:r w:rsidR="00D14D2D">
          <w:rPr>
            <w:noProof/>
            <w:webHidden/>
          </w:rPr>
        </w:r>
        <w:r w:rsidR="00D14D2D">
          <w:rPr>
            <w:noProof/>
            <w:webHidden/>
          </w:rPr>
          <w:fldChar w:fldCharType="separate"/>
        </w:r>
        <w:r w:rsidR="00D14D2D">
          <w:rPr>
            <w:noProof/>
            <w:webHidden/>
          </w:rPr>
          <w:t>80</w:t>
        </w:r>
        <w:r w:rsidR="00D14D2D">
          <w:rPr>
            <w:noProof/>
            <w:webHidden/>
          </w:rPr>
          <w:fldChar w:fldCharType="end"/>
        </w:r>
      </w:hyperlink>
    </w:p>
    <w:p w14:paraId="282471F2" w14:textId="513C1B5D" w:rsidR="00D14D2D" w:rsidRDefault="00000000">
      <w:pPr>
        <w:pStyle w:val="TOC5"/>
        <w:tabs>
          <w:tab w:val="left" w:pos="1824"/>
          <w:tab w:val="right" w:leader="dot" w:pos="9016"/>
        </w:tabs>
        <w:rPr>
          <w:rFonts w:eastAsiaTheme="minorEastAsia"/>
          <w:noProof/>
          <w:lang w:eastAsia="en-GB"/>
        </w:rPr>
      </w:pPr>
      <w:hyperlink w:anchor="_Toc128330062" w:history="1">
        <w:r w:rsidR="00D14D2D" w:rsidRPr="00531D9E">
          <w:rPr>
            <w:rStyle w:val="Hyperlink"/>
            <w:noProof/>
          </w:rPr>
          <w:t>10.3.1.2</w:t>
        </w:r>
        <w:r w:rsidR="00D14D2D">
          <w:rPr>
            <w:rFonts w:eastAsiaTheme="minorEastAsia"/>
            <w:noProof/>
            <w:lang w:eastAsia="en-GB"/>
          </w:rPr>
          <w:tab/>
        </w:r>
        <w:r w:rsidR="00D14D2D" w:rsidRPr="00531D9E">
          <w:rPr>
            <w:rStyle w:val="Hyperlink"/>
            <w:noProof/>
          </w:rPr>
          <w:t xml:space="preserve"> Physical Wellbeing</w:t>
        </w:r>
        <w:r w:rsidR="00D14D2D">
          <w:rPr>
            <w:noProof/>
            <w:webHidden/>
          </w:rPr>
          <w:tab/>
        </w:r>
        <w:r w:rsidR="00D14D2D">
          <w:rPr>
            <w:noProof/>
            <w:webHidden/>
          </w:rPr>
          <w:fldChar w:fldCharType="begin"/>
        </w:r>
        <w:r w:rsidR="00D14D2D">
          <w:rPr>
            <w:noProof/>
            <w:webHidden/>
          </w:rPr>
          <w:instrText xml:space="preserve"> PAGEREF _Toc128330062 \h </w:instrText>
        </w:r>
        <w:r w:rsidR="00D14D2D">
          <w:rPr>
            <w:noProof/>
            <w:webHidden/>
          </w:rPr>
        </w:r>
        <w:r w:rsidR="00D14D2D">
          <w:rPr>
            <w:noProof/>
            <w:webHidden/>
          </w:rPr>
          <w:fldChar w:fldCharType="separate"/>
        </w:r>
        <w:r w:rsidR="00D14D2D">
          <w:rPr>
            <w:noProof/>
            <w:webHidden/>
          </w:rPr>
          <w:t>81</w:t>
        </w:r>
        <w:r w:rsidR="00D14D2D">
          <w:rPr>
            <w:noProof/>
            <w:webHidden/>
          </w:rPr>
          <w:fldChar w:fldCharType="end"/>
        </w:r>
      </w:hyperlink>
    </w:p>
    <w:p w14:paraId="19341002" w14:textId="60C9AD8C" w:rsidR="00D14D2D" w:rsidRDefault="00000000">
      <w:pPr>
        <w:pStyle w:val="TOC5"/>
        <w:tabs>
          <w:tab w:val="left" w:pos="1874"/>
          <w:tab w:val="right" w:leader="dot" w:pos="9016"/>
        </w:tabs>
        <w:rPr>
          <w:rFonts w:eastAsiaTheme="minorEastAsia"/>
          <w:noProof/>
          <w:lang w:eastAsia="en-GB"/>
        </w:rPr>
      </w:pPr>
      <w:hyperlink w:anchor="_Toc128330063" w:history="1">
        <w:r w:rsidR="00D14D2D" w:rsidRPr="00531D9E">
          <w:rPr>
            <w:rStyle w:val="Hyperlink"/>
            <w:noProof/>
          </w:rPr>
          <w:t xml:space="preserve">10.3.1.3 </w:t>
        </w:r>
        <w:r w:rsidR="00D14D2D">
          <w:rPr>
            <w:rFonts w:eastAsiaTheme="minorEastAsia"/>
            <w:noProof/>
            <w:lang w:eastAsia="en-GB"/>
          </w:rPr>
          <w:tab/>
        </w:r>
        <w:r w:rsidR="00D14D2D" w:rsidRPr="00531D9E">
          <w:rPr>
            <w:rStyle w:val="Hyperlink"/>
            <w:noProof/>
          </w:rPr>
          <w:t>Smoking cessation</w:t>
        </w:r>
        <w:r w:rsidR="00D14D2D">
          <w:rPr>
            <w:noProof/>
            <w:webHidden/>
          </w:rPr>
          <w:tab/>
        </w:r>
        <w:r w:rsidR="00D14D2D">
          <w:rPr>
            <w:noProof/>
            <w:webHidden/>
          </w:rPr>
          <w:fldChar w:fldCharType="begin"/>
        </w:r>
        <w:r w:rsidR="00D14D2D">
          <w:rPr>
            <w:noProof/>
            <w:webHidden/>
          </w:rPr>
          <w:instrText xml:space="preserve"> PAGEREF _Toc128330063 \h </w:instrText>
        </w:r>
        <w:r w:rsidR="00D14D2D">
          <w:rPr>
            <w:noProof/>
            <w:webHidden/>
          </w:rPr>
        </w:r>
        <w:r w:rsidR="00D14D2D">
          <w:rPr>
            <w:noProof/>
            <w:webHidden/>
          </w:rPr>
          <w:fldChar w:fldCharType="separate"/>
        </w:r>
        <w:r w:rsidR="00D14D2D">
          <w:rPr>
            <w:noProof/>
            <w:webHidden/>
          </w:rPr>
          <w:t>81</w:t>
        </w:r>
        <w:r w:rsidR="00D14D2D">
          <w:rPr>
            <w:noProof/>
            <w:webHidden/>
          </w:rPr>
          <w:fldChar w:fldCharType="end"/>
        </w:r>
      </w:hyperlink>
    </w:p>
    <w:p w14:paraId="7D56CDF3" w14:textId="3A91CF9B" w:rsidR="00D14D2D" w:rsidRDefault="00000000">
      <w:pPr>
        <w:pStyle w:val="TOC5"/>
        <w:tabs>
          <w:tab w:val="left" w:pos="1874"/>
          <w:tab w:val="right" w:leader="dot" w:pos="9016"/>
        </w:tabs>
        <w:rPr>
          <w:rFonts w:eastAsiaTheme="minorEastAsia"/>
          <w:noProof/>
          <w:lang w:eastAsia="en-GB"/>
        </w:rPr>
      </w:pPr>
      <w:hyperlink w:anchor="_Toc128330064" w:history="1">
        <w:r w:rsidR="00D14D2D" w:rsidRPr="00531D9E">
          <w:rPr>
            <w:rStyle w:val="Hyperlink"/>
            <w:noProof/>
          </w:rPr>
          <w:t xml:space="preserve">10.3.1.4 </w:t>
        </w:r>
        <w:r w:rsidR="00D14D2D">
          <w:rPr>
            <w:rFonts w:eastAsiaTheme="minorEastAsia"/>
            <w:noProof/>
            <w:lang w:eastAsia="en-GB"/>
          </w:rPr>
          <w:tab/>
        </w:r>
        <w:r w:rsidR="00D14D2D" w:rsidRPr="00531D9E">
          <w:rPr>
            <w:rStyle w:val="Hyperlink"/>
            <w:noProof/>
          </w:rPr>
          <w:t>Diet</w:t>
        </w:r>
        <w:r w:rsidR="00D14D2D">
          <w:rPr>
            <w:noProof/>
            <w:webHidden/>
          </w:rPr>
          <w:tab/>
        </w:r>
        <w:r w:rsidR="00D14D2D">
          <w:rPr>
            <w:noProof/>
            <w:webHidden/>
          </w:rPr>
          <w:fldChar w:fldCharType="begin"/>
        </w:r>
        <w:r w:rsidR="00D14D2D">
          <w:rPr>
            <w:noProof/>
            <w:webHidden/>
          </w:rPr>
          <w:instrText xml:space="preserve"> PAGEREF _Toc128330064 \h </w:instrText>
        </w:r>
        <w:r w:rsidR="00D14D2D">
          <w:rPr>
            <w:noProof/>
            <w:webHidden/>
          </w:rPr>
        </w:r>
        <w:r w:rsidR="00D14D2D">
          <w:rPr>
            <w:noProof/>
            <w:webHidden/>
          </w:rPr>
          <w:fldChar w:fldCharType="separate"/>
        </w:r>
        <w:r w:rsidR="00D14D2D">
          <w:rPr>
            <w:noProof/>
            <w:webHidden/>
          </w:rPr>
          <w:t>81</w:t>
        </w:r>
        <w:r w:rsidR="00D14D2D">
          <w:rPr>
            <w:noProof/>
            <w:webHidden/>
          </w:rPr>
          <w:fldChar w:fldCharType="end"/>
        </w:r>
      </w:hyperlink>
    </w:p>
    <w:p w14:paraId="0627F072" w14:textId="5016677B" w:rsidR="00D14D2D" w:rsidRDefault="00000000">
      <w:pPr>
        <w:pStyle w:val="TOC3"/>
        <w:tabs>
          <w:tab w:val="left" w:pos="1100"/>
          <w:tab w:val="right" w:leader="dot" w:pos="9016"/>
        </w:tabs>
        <w:rPr>
          <w:rFonts w:eastAsiaTheme="minorEastAsia"/>
          <w:noProof/>
          <w:lang w:eastAsia="en-GB"/>
        </w:rPr>
      </w:pPr>
      <w:hyperlink w:anchor="_Toc128330065" w:history="1">
        <w:r w:rsidR="00D14D2D" w:rsidRPr="00531D9E">
          <w:rPr>
            <w:rStyle w:val="Hyperlink"/>
            <w:noProof/>
          </w:rPr>
          <w:t>10.4</w:t>
        </w:r>
        <w:r w:rsidR="00D14D2D">
          <w:rPr>
            <w:rFonts w:eastAsiaTheme="minorEastAsia"/>
            <w:noProof/>
            <w:lang w:eastAsia="en-GB"/>
          </w:rPr>
          <w:tab/>
        </w:r>
        <w:r w:rsidR="00D14D2D" w:rsidRPr="00531D9E">
          <w:rPr>
            <w:rStyle w:val="Hyperlink"/>
            <w:noProof/>
          </w:rPr>
          <w:t>Re-transplantation</w:t>
        </w:r>
        <w:r w:rsidR="00D14D2D">
          <w:rPr>
            <w:noProof/>
            <w:webHidden/>
          </w:rPr>
          <w:tab/>
        </w:r>
        <w:r w:rsidR="00D14D2D">
          <w:rPr>
            <w:noProof/>
            <w:webHidden/>
          </w:rPr>
          <w:fldChar w:fldCharType="begin"/>
        </w:r>
        <w:r w:rsidR="00D14D2D">
          <w:rPr>
            <w:noProof/>
            <w:webHidden/>
          </w:rPr>
          <w:instrText xml:space="preserve"> PAGEREF _Toc128330065 \h </w:instrText>
        </w:r>
        <w:r w:rsidR="00D14D2D">
          <w:rPr>
            <w:noProof/>
            <w:webHidden/>
          </w:rPr>
        </w:r>
        <w:r w:rsidR="00D14D2D">
          <w:rPr>
            <w:noProof/>
            <w:webHidden/>
          </w:rPr>
          <w:fldChar w:fldCharType="separate"/>
        </w:r>
        <w:r w:rsidR="00D14D2D">
          <w:rPr>
            <w:noProof/>
            <w:webHidden/>
          </w:rPr>
          <w:t>81</w:t>
        </w:r>
        <w:r w:rsidR="00D14D2D">
          <w:rPr>
            <w:noProof/>
            <w:webHidden/>
          </w:rPr>
          <w:fldChar w:fldCharType="end"/>
        </w:r>
      </w:hyperlink>
    </w:p>
    <w:p w14:paraId="454000FB" w14:textId="3A5958F3" w:rsidR="00D14D2D" w:rsidRDefault="00000000">
      <w:pPr>
        <w:pStyle w:val="TOC4"/>
        <w:tabs>
          <w:tab w:val="left" w:pos="1540"/>
          <w:tab w:val="right" w:leader="dot" w:pos="9016"/>
        </w:tabs>
        <w:rPr>
          <w:rFonts w:eastAsiaTheme="minorEastAsia"/>
          <w:noProof/>
          <w:lang w:eastAsia="en-GB"/>
        </w:rPr>
      </w:pPr>
      <w:hyperlink w:anchor="_Toc128330066" w:history="1">
        <w:r w:rsidR="00D14D2D" w:rsidRPr="00531D9E">
          <w:rPr>
            <w:rStyle w:val="Hyperlink"/>
            <w:noProof/>
          </w:rPr>
          <w:t>10.4.1</w:t>
        </w:r>
        <w:r w:rsidR="00D14D2D">
          <w:rPr>
            <w:rFonts w:eastAsiaTheme="minorEastAsia"/>
            <w:noProof/>
            <w:lang w:eastAsia="en-GB"/>
          </w:rPr>
          <w:tab/>
        </w:r>
        <w:r w:rsidR="00D14D2D" w:rsidRPr="00531D9E">
          <w:rPr>
            <w:rStyle w:val="Hyperlink"/>
            <w:noProof/>
          </w:rPr>
          <w:t xml:space="preserve"> Patient identification</w:t>
        </w:r>
        <w:r w:rsidR="00D14D2D">
          <w:rPr>
            <w:noProof/>
            <w:webHidden/>
          </w:rPr>
          <w:tab/>
        </w:r>
        <w:r w:rsidR="00D14D2D">
          <w:rPr>
            <w:noProof/>
            <w:webHidden/>
          </w:rPr>
          <w:fldChar w:fldCharType="begin"/>
        </w:r>
        <w:r w:rsidR="00D14D2D">
          <w:rPr>
            <w:noProof/>
            <w:webHidden/>
          </w:rPr>
          <w:instrText xml:space="preserve"> PAGEREF _Toc128330066 \h </w:instrText>
        </w:r>
        <w:r w:rsidR="00D14D2D">
          <w:rPr>
            <w:noProof/>
            <w:webHidden/>
          </w:rPr>
        </w:r>
        <w:r w:rsidR="00D14D2D">
          <w:rPr>
            <w:noProof/>
            <w:webHidden/>
          </w:rPr>
          <w:fldChar w:fldCharType="separate"/>
        </w:r>
        <w:r w:rsidR="00D14D2D">
          <w:rPr>
            <w:noProof/>
            <w:webHidden/>
          </w:rPr>
          <w:t>81</w:t>
        </w:r>
        <w:r w:rsidR="00D14D2D">
          <w:rPr>
            <w:noProof/>
            <w:webHidden/>
          </w:rPr>
          <w:fldChar w:fldCharType="end"/>
        </w:r>
      </w:hyperlink>
    </w:p>
    <w:p w14:paraId="43728688" w14:textId="30DF92AD" w:rsidR="00D14D2D" w:rsidRDefault="00000000">
      <w:pPr>
        <w:pStyle w:val="TOC4"/>
        <w:tabs>
          <w:tab w:val="left" w:pos="1540"/>
          <w:tab w:val="right" w:leader="dot" w:pos="9016"/>
        </w:tabs>
        <w:rPr>
          <w:rFonts w:eastAsiaTheme="minorEastAsia"/>
          <w:noProof/>
          <w:lang w:eastAsia="en-GB"/>
        </w:rPr>
      </w:pPr>
      <w:hyperlink w:anchor="_Toc128330067" w:history="1">
        <w:r w:rsidR="00D14D2D" w:rsidRPr="00531D9E">
          <w:rPr>
            <w:rStyle w:val="Hyperlink"/>
            <w:noProof/>
          </w:rPr>
          <w:t>10.4.2</w:t>
        </w:r>
        <w:r w:rsidR="00D14D2D">
          <w:rPr>
            <w:rFonts w:eastAsiaTheme="minorEastAsia"/>
            <w:noProof/>
            <w:lang w:eastAsia="en-GB"/>
          </w:rPr>
          <w:tab/>
        </w:r>
        <w:r w:rsidR="00D14D2D" w:rsidRPr="00531D9E">
          <w:rPr>
            <w:rStyle w:val="Hyperlink"/>
            <w:noProof/>
          </w:rPr>
          <w:t xml:space="preserve"> Suitability for re-transplantation</w:t>
        </w:r>
        <w:r w:rsidR="00D14D2D">
          <w:rPr>
            <w:noProof/>
            <w:webHidden/>
          </w:rPr>
          <w:tab/>
        </w:r>
        <w:r w:rsidR="00D14D2D">
          <w:rPr>
            <w:noProof/>
            <w:webHidden/>
          </w:rPr>
          <w:fldChar w:fldCharType="begin"/>
        </w:r>
        <w:r w:rsidR="00D14D2D">
          <w:rPr>
            <w:noProof/>
            <w:webHidden/>
          </w:rPr>
          <w:instrText xml:space="preserve"> PAGEREF _Toc128330067 \h </w:instrText>
        </w:r>
        <w:r w:rsidR="00D14D2D">
          <w:rPr>
            <w:noProof/>
            <w:webHidden/>
          </w:rPr>
        </w:r>
        <w:r w:rsidR="00D14D2D">
          <w:rPr>
            <w:noProof/>
            <w:webHidden/>
          </w:rPr>
          <w:fldChar w:fldCharType="separate"/>
        </w:r>
        <w:r w:rsidR="00D14D2D">
          <w:rPr>
            <w:noProof/>
            <w:webHidden/>
          </w:rPr>
          <w:t>81</w:t>
        </w:r>
        <w:r w:rsidR="00D14D2D">
          <w:rPr>
            <w:noProof/>
            <w:webHidden/>
          </w:rPr>
          <w:fldChar w:fldCharType="end"/>
        </w:r>
      </w:hyperlink>
    </w:p>
    <w:p w14:paraId="1B9FF815" w14:textId="77DE5F41" w:rsidR="00D14D2D" w:rsidRDefault="00000000">
      <w:pPr>
        <w:pStyle w:val="TOC4"/>
        <w:tabs>
          <w:tab w:val="left" w:pos="1540"/>
          <w:tab w:val="right" w:leader="dot" w:pos="9016"/>
        </w:tabs>
        <w:rPr>
          <w:rFonts w:eastAsiaTheme="minorEastAsia"/>
          <w:noProof/>
          <w:lang w:eastAsia="en-GB"/>
        </w:rPr>
      </w:pPr>
      <w:hyperlink w:anchor="_Toc128330068" w:history="1">
        <w:r w:rsidR="00D14D2D" w:rsidRPr="00531D9E">
          <w:rPr>
            <w:rStyle w:val="Hyperlink"/>
            <w:noProof/>
          </w:rPr>
          <w:t>10.4.3</w:t>
        </w:r>
        <w:r w:rsidR="00D14D2D">
          <w:rPr>
            <w:rFonts w:eastAsiaTheme="minorEastAsia"/>
            <w:noProof/>
            <w:lang w:eastAsia="en-GB"/>
          </w:rPr>
          <w:tab/>
        </w:r>
        <w:r w:rsidR="00D14D2D" w:rsidRPr="00531D9E">
          <w:rPr>
            <w:rStyle w:val="Hyperlink"/>
            <w:noProof/>
          </w:rPr>
          <w:t xml:space="preserve"> Timing</w:t>
        </w:r>
        <w:r w:rsidR="00D14D2D">
          <w:rPr>
            <w:noProof/>
            <w:webHidden/>
          </w:rPr>
          <w:tab/>
        </w:r>
        <w:r w:rsidR="00D14D2D">
          <w:rPr>
            <w:noProof/>
            <w:webHidden/>
          </w:rPr>
          <w:fldChar w:fldCharType="begin"/>
        </w:r>
        <w:r w:rsidR="00D14D2D">
          <w:rPr>
            <w:noProof/>
            <w:webHidden/>
          </w:rPr>
          <w:instrText xml:space="preserve"> PAGEREF _Toc128330068 \h </w:instrText>
        </w:r>
        <w:r w:rsidR="00D14D2D">
          <w:rPr>
            <w:noProof/>
            <w:webHidden/>
          </w:rPr>
        </w:r>
        <w:r w:rsidR="00D14D2D">
          <w:rPr>
            <w:noProof/>
            <w:webHidden/>
          </w:rPr>
          <w:fldChar w:fldCharType="separate"/>
        </w:r>
        <w:r w:rsidR="00D14D2D">
          <w:rPr>
            <w:noProof/>
            <w:webHidden/>
          </w:rPr>
          <w:t>82</w:t>
        </w:r>
        <w:r w:rsidR="00D14D2D">
          <w:rPr>
            <w:noProof/>
            <w:webHidden/>
          </w:rPr>
          <w:fldChar w:fldCharType="end"/>
        </w:r>
      </w:hyperlink>
    </w:p>
    <w:p w14:paraId="62FD0DF3" w14:textId="132C39CF" w:rsidR="00D14D2D" w:rsidRDefault="00000000">
      <w:pPr>
        <w:pStyle w:val="TOC4"/>
        <w:tabs>
          <w:tab w:val="left" w:pos="1540"/>
          <w:tab w:val="right" w:leader="dot" w:pos="9016"/>
        </w:tabs>
        <w:rPr>
          <w:rFonts w:eastAsiaTheme="minorEastAsia"/>
          <w:noProof/>
          <w:lang w:eastAsia="en-GB"/>
        </w:rPr>
      </w:pPr>
      <w:hyperlink w:anchor="_Toc128330069" w:history="1">
        <w:r w:rsidR="00D14D2D" w:rsidRPr="00531D9E">
          <w:rPr>
            <w:rStyle w:val="Hyperlink"/>
            <w:noProof/>
          </w:rPr>
          <w:t>10.4.4</w:t>
        </w:r>
        <w:r w:rsidR="00D14D2D">
          <w:rPr>
            <w:rFonts w:eastAsiaTheme="minorEastAsia"/>
            <w:noProof/>
            <w:lang w:eastAsia="en-GB"/>
          </w:rPr>
          <w:tab/>
        </w:r>
        <w:r w:rsidR="00D14D2D" w:rsidRPr="00531D9E">
          <w:rPr>
            <w:rStyle w:val="Hyperlink"/>
            <w:noProof/>
          </w:rPr>
          <w:t xml:space="preserve"> Living donation</w:t>
        </w:r>
        <w:r w:rsidR="00D14D2D">
          <w:rPr>
            <w:noProof/>
            <w:webHidden/>
          </w:rPr>
          <w:tab/>
        </w:r>
        <w:r w:rsidR="00D14D2D">
          <w:rPr>
            <w:noProof/>
            <w:webHidden/>
          </w:rPr>
          <w:fldChar w:fldCharType="begin"/>
        </w:r>
        <w:r w:rsidR="00D14D2D">
          <w:rPr>
            <w:noProof/>
            <w:webHidden/>
          </w:rPr>
          <w:instrText xml:space="preserve"> PAGEREF _Toc128330069 \h </w:instrText>
        </w:r>
        <w:r w:rsidR="00D14D2D">
          <w:rPr>
            <w:noProof/>
            <w:webHidden/>
          </w:rPr>
        </w:r>
        <w:r w:rsidR="00D14D2D">
          <w:rPr>
            <w:noProof/>
            <w:webHidden/>
          </w:rPr>
          <w:fldChar w:fldCharType="separate"/>
        </w:r>
        <w:r w:rsidR="00D14D2D">
          <w:rPr>
            <w:noProof/>
            <w:webHidden/>
          </w:rPr>
          <w:t>82</w:t>
        </w:r>
        <w:r w:rsidR="00D14D2D">
          <w:rPr>
            <w:noProof/>
            <w:webHidden/>
          </w:rPr>
          <w:fldChar w:fldCharType="end"/>
        </w:r>
      </w:hyperlink>
    </w:p>
    <w:p w14:paraId="210D18B1" w14:textId="33132186" w:rsidR="00D14D2D" w:rsidRDefault="00000000">
      <w:pPr>
        <w:pStyle w:val="TOC3"/>
        <w:tabs>
          <w:tab w:val="left" w:pos="1100"/>
          <w:tab w:val="right" w:leader="dot" w:pos="9016"/>
        </w:tabs>
        <w:rPr>
          <w:rFonts w:eastAsiaTheme="minorEastAsia"/>
          <w:noProof/>
          <w:lang w:eastAsia="en-GB"/>
        </w:rPr>
      </w:pPr>
      <w:hyperlink w:anchor="_Toc128330070" w:history="1">
        <w:r w:rsidR="00D14D2D" w:rsidRPr="00531D9E">
          <w:rPr>
            <w:rStyle w:val="Hyperlink"/>
            <w:noProof/>
          </w:rPr>
          <w:t>10.5</w:t>
        </w:r>
        <w:r w:rsidR="00D14D2D">
          <w:rPr>
            <w:rFonts w:eastAsiaTheme="minorEastAsia"/>
            <w:noProof/>
            <w:lang w:eastAsia="en-GB"/>
          </w:rPr>
          <w:tab/>
        </w:r>
        <w:r w:rsidR="00D14D2D" w:rsidRPr="00531D9E">
          <w:rPr>
            <w:rStyle w:val="Hyperlink"/>
            <w:noProof/>
          </w:rPr>
          <w:t>Dialysis or conservative management</w:t>
        </w:r>
        <w:r w:rsidR="00D14D2D">
          <w:rPr>
            <w:noProof/>
            <w:webHidden/>
          </w:rPr>
          <w:tab/>
        </w:r>
        <w:r w:rsidR="00D14D2D">
          <w:rPr>
            <w:noProof/>
            <w:webHidden/>
          </w:rPr>
          <w:fldChar w:fldCharType="begin"/>
        </w:r>
        <w:r w:rsidR="00D14D2D">
          <w:rPr>
            <w:noProof/>
            <w:webHidden/>
          </w:rPr>
          <w:instrText xml:space="preserve"> PAGEREF _Toc128330070 \h </w:instrText>
        </w:r>
        <w:r w:rsidR="00D14D2D">
          <w:rPr>
            <w:noProof/>
            <w:webHidden/>
          </w:rPr>
        </w:r>
        <w:r w:rsidR="00D14D2D">
          <w:rPr>
            <w:noProof/>
            <w:webHidden/>
          </w:rPr>
          <w:fldChar w:fldCharType="separate"/>
        </w:r>
        <w:r w:rsidR="00D14D2D">
          <w:rPr>
            <w:noProof/>
            <w:webHidden/>
          </w:rPr>
          <w:t>82</w:t>
        </w:r>
        <w:r w:rsidR="00D14D2D">
          <w:rPr>
            <w:noProof/>
            <w:webHidden/>
          </w:rPr>
          <w:fldChar w:fldCharType="end"/>
        </w:r>
      </w:hyperlink>
    </w:p>
    <w:p w14:paraId="0E7909FB" w14:textId="3F3A7E62" w:rsidR="00D14D2D" w:rsidRDefault="00000000">
      <w:pPr>
        <w:pStyle w:val="TOC4"/>
        <w:tabs>
          <w:tab w:val="left" w:pos="1540"/>
          <w:tab w:val="right" w:leader="dot" w:pos="9016"/>
        </w:tabs>
        <w:rPr>
          <w:rFonts w:eastAsiaTheme="minorEastAsia"/>
          <w:noProof/>
          <w:lang w:eastAsia="en-GB"/>
        </w:rPr>
      </w:pPr>
      <w:hyperlink w:anchor="_Toc128330071" w:history="1">
        <w:r w:rsidR="00D14D2D" w:rsidRPr="00531D9E">
          <w:rPr>
            <w:rStyle w:val="Hyperlink"/>
            <w:noProof/>
          </w:rPr>
          <w:t>10.5.1</w:t>
        </w:r>
        <w:r w:rsidR="00D14D2D">
          <w:rPr>
            <w:rFonts w:eastAsiaTheme="minorEastAsia"/>
            <w:noProof/>
            <w:lang w:eastAsia="en-GB"/>
          </w:rPr>
          <w:tab/>
        </w:r>
        <w:r w:rsidR="00D14D2D" w:rsidRPr="00531D9E">
          <w:rPr>
            <w:rStyle w:val="Hyperlink"/>
            <w:noProof/>
          </w:rPr>
          <w:t xml:space="preserve"> Choice of dialysis modality</w:t>
        </w:r>
        <w:r w:rsidR="00D14D2D">
          <w:rPr>
            <w:noProof/>
            <w:webHidden/>
          </w:rPr>
          <w:tab/>
        </w:r>
        <w:r w:rsidR="00D14D2D">
          <w:rPr>
            <w:noProof/>
            <w:webHidden/>
          </w:rPr>
          <w:fldChar w:fldCharType="begin"/>
        </w:r>
        <w:r w:rsidR="00D14D2D">
          <w:rPr>
            <w:noProof/>
            <w:webHidden/>
          </w:rPr>
          <w:instrText xml:space="preserve"> PAGEREF _Toc128330071 \h </w:instrText>
        </w:r>
        <w:r w:rsidR="00D14D2D">
          <w:rPr>
            <w:noProof/>
            <w:webHidden/>
          </w:rPr>
        </w:r>
        <w:r w:rsidR="00D14D2D">
          <w:rPr>
            <w:noProof/>
            <w:webHidden/>
          </w:rPr>
          <w:fldChar w:fldCharType="separate"/>
        </w:r>
        <w:r w:rsidR="00D14D2D">
          <w:rPr>
            <w:noProof/>
            <w:webHidden/>
          </w:rPr>
          <w:t>82</w:t>
        </w:r>
        <w:r w:rsidR="00D14D2D">
          <w:rPr>
            <w:noProof/>
            <w:webHidden/>
          </w:rPr>
          <w:fldChar w:fldCharType="end"/>
        </w:r>
      </w:hyperlink>
    </w:p>
    <w:p w14:paraId="5480A731" w14:textId="62B86D72" w:rsidR="00D14D2D" w:rsidRDefault="00000000">
      <w:pPr>
        <w:pStyle w:val="TOC4"/>
        <w:tabs>
          <w:tab w:val="left" w:pos="1540"/>
          <w:tab w:val="right" w:leader="dot" w:pos="9016"/>
        </w:tabs>
        <w:rPr>
          <w:rFonts w:eastAsiaTheme="minorEastAsia"/>
          <w:noProof/>
          <w:lang w:eastAsia="en-GB"/>
        </w:rPr>
      </w:pPr>
      <w:hyperlink w:anchor="_Toc128330072" w:history="1">
        <w:r w:rsidR="00D14D2D" w:rsidRPr="00531D9E">
          <w:rPr>
            <w:rStyle w:val="Hyperlink"/>
            <w:noProof/>
          </w:rPr>
          <w:t>10.5.2</w:t>
        </w:r>
        <w:r w:rsidR="00D14D2D">
          <w:rPr>
            <w:rFonts w:eastAsiaTheme="minorEastAsia"/>
            <w:noProof/>
            <w:lang w:eastAsia="en-GB"/>
          </w:rPr>
          <w:tab/>
        </w:r>
        <w:r w:rsidR="00D14D2D" w:rsidRPr="00531D9E">
          <w:rPr>
            <w:rStyle w:val="Hyperlink"/>
            <w:noProof/>
          </w:rPr>
          <w:t xml:space="preserve"> Formation of dialysis access</w:t>
        </w:r>
        <w:r w:rsidR="00D14D2D">
          <w:rPr>
            <w:noProof/>
            <w:webHidden/>
          </w:rPr>
          <w:tab/>
        </w:r>
        <w:r w:rsidR="00D14D2D">
          <w:rPr>
            <w:noProof/>
            <w:webHidden/>
          </w:rPr>
          <w:fldChar w:fldCharType="begin"/>
        </w:r>
        <w:r w:rsidR="00D14D2D">
          <w:rPr>
            <w:noProof/>
            <w:webHidden/>
          </w:rPr>
          <w:instrText xml:space="preserve"> PAGEREF _Toc128330072 \h </w:instrText>
        </w:r>
        <w:r w:rsidR="00D14D2D">
          <w:rPr>
            <w:noProof/>
            <w:webHidden/>
          </w:rPr>
        </w:r>
        <w:r w:rsidR="00D14D2D">
          <w:rPr>
            <w:noProof/>
            <w:webHidden/>
          </w:rPr>
          <w:fldChar w:fldCharType="separate"/>
        </w:r>
        <w:r w:rsidR="00D14D2D">
          <w:rPr>
            <w:noProof/>
            <w:webHidden/>
          </w:rPr>
          <w:t>83</w:t>
        </w:r>
        <w:r w:rsidR="00D14D2D">
          <w:rPr>
            <w:noProof/>
            <w:webHidden/>
          </w:rPr>
          <w:fldChar w:fldCharType="end"/>
        </w:r>
      </w:hyperlink>
    </w:p>
    <w:p w14:paraId="669AE7CD" w14:textId="3EA02329" w:rsidR="00D14D2D" w:rsidRDefault="00000000">
      <w:pPr>
        <w:pStyle w:val="TOC4"/>
        <w:tabs>
          <w:tab w:val="left" w:pos="1540"/>
          <w:tab w:val="right" w:leader="dot" w:pos="9016"/>
        </w:tabs>
        <w:rPr>
          <w:rFonts w:eastAsiaTheme="minorEastAsia"/>
          <w:noProof/>
          <w:lang w:eastAsia="en-GB"/>
        </w:rPr>
      </w:pPr>
      <w:hyperlink w:anchor="_Toc128330073" w:history="1">
        <w:r w:rsidR="00D14D2D" w:rsidRPr="00531D9E">
          <w:rPr>
            <w:rStyle w:val="Hyperlink"/>
            <w:noProof/>
          </w:rPr>
          <w:t>10.5.3</w:t>
        </w:r>
        <w:r w:rsidR="00D14D2D">
          <w:rPr>
            <w:rFonts w:eastAsiaTheme="minorEastAsia"/>
            <w:noProof/>
            <w:lang w:eastAsia="en-GB"/>
          </w:rPr>
          <w:tab/>
        </w:r>
        <w:r w:rsidR="00D14D2D" w:rsidRPr="00531D9E">
          <w:rPr>
            <w:rStyle w:val="Hyperlink"/>
            <w:noProof/>
          </w:rPr>
          <w:t xml:space="preserve"> Initiation of dialysis</w:t>
        </w:r>
        <w:r w:rsidR="00D14D2D">
          <w:rPr>
            <w:noProof/>
            <w:webHidden/>
          </w:rPr>
          <w:tab/>
        </w:r>
        <w:r w:rsidR="00D14D2D">
          <w:rPr>
            <w:noProof/>
            <w:webHidden/>
          </w:rPr>
          <w:fldChar w:fldCharType="begin"/>
        </w:r>
        <w:r w:rsidR="00D14D2D">
          <w:rPr>
            <w:noProof/>
            <w:webHidden/>
          </w:rPr>
          <w:instrText xml:space="preserve"> PAGEREF _Toc128330073 \h </w:instrText>
        </w:r>
        <w:r w:rsidR="00D14D2D">
          <w:rPr>
            <w:noProof/>
            <w:webHidden/>
          </w:rPr>
        </w:r>
        <w:r w:rsidR="00D14D2D">
          <w:rPr>
            <w:noProof/>
            <w:webHidden/>
          </w:rPr>
          <w:fldChar w:fldCharType="separate"/>
        </w:r>
        <w:r w:rsidR="00D14D2D">
          <w:rPr>
            <w:noProof/>
            <w:webHidden/>
          </w:rPr>
          <w:t>83</w:t>
        </w:r>
        <w:r w:rsidR="00D14D2D">
          <w:rPr>
            <w:noProof/>
            <w:webHidden/>
          </w:rPr>
          <w:fldChar w:fldCharType="end"/>
        </w:r>
      </w:hyperlink>
    </w:p>
    <w:p w14:paraId="5FBB9DFB" w14:textId="36EB03AF" w:rsidR="00D14D2D" w:rsidRDefault="00000000">
      <w:pPr>
        <w:pStyle w:val="TOC4"/>
        <w:tabs>
          <w:tab w:val="left" w:pos="1540"/>
          <w:tab w:val="right" w:leader="dot" w:pos="9016"/>
        </w:tabs>
        <w:rPr>
          <w:rFonts w:eastAsiaTheme="minorEastAsia"/>
          <w:noProof/>
          <w:lang w:eastAsia="en-GB"/>
        </w:rPr>
      </w:pPr>
      <w:hyperlink w:anchor="_Toc128330074" w:history="1">
        <w:r w:rsidR="00D14D2D" w:rsidRPr="00531D9E">
          <w:rPr>
            <w:rStyle w:val="Hyperlink"/>
            <w:noProof/>
          </w:rPr>
          <w:t>10.5.4</w:t>
        </w:r>
        <w:r w:rsidR="00D14D2D">
          <w:rPr>
            <w:rFonts w:eastAsiaTheme="minorEastAsia"/>
            <w:noProof/>
            <w:lang w:eastAsia="en-GB"/>
          </w:rPr>
          <w:tab/>
        </w:r>
        <w:r w:rsidR="00D14D2D" w:rsidRPr="00531D9E">
          <w:rPr>
            <w:rStyle w:val="Hyperlink"/>
            <w:noProof/>
          </w:rPr>
          <w:t xml:space="preserve"> Conservative management</w:t>
        </w:r>
        <w:r w:rsidR="00D14D2D">
          <w:rPr>
            <w:noProof/>
            <w:webHidden/>
          </w:rPr>
          <w:tab/>
        </w:r>
        <w:r w:rsidR="00D14D2D">
          <w:rPr>
            <w:noProof/>
            <w:webHidden/>
          </w:rPr>
          <w:fldChar w:fldCharType="begin"/>
        </w:r>
        <w:r w:rsidR="00D14D2D">
          <w:rPr>
            <w:noProof/>
            <w:webHidden/>
          </w:rPr>
          <w:instrText xml:space="preserve"> PAGEREF _Toc128330074 \h </w:instrText>
        </w:r>
        <w:r w:rsidR="00D14D2D">
          <w:rPr>
            <w:noProof/>
            <w:webHidden/>
          </w:rPr>
        </w:r>
        <w:r w:rsidR="00D14D2D">
          <w:rPr>
            <w:noProof/>
            <w:webHidden/>
          </w:rPr>
          <w:fldChar w:fldCharType="separate"/>
        </w:r>
        <w:r w:rsidR="00D14D2D">
          <w:rPr>
            <w:noProof/>
            <w:webHidden/>
          </w:rPr>
          <w:t>83</w:t>
        </w:r>
        <w:r w:rsidR="00D14D2D">
          <w:rPr>
            <w:noProof/>
            <w:webHidden/>
          </w:rPr>
          <w:fldChar w:fldCharType="end"/>
        </w:r>
      </w:hyperlink>
    </w:p>
    <w:p w14:paraId="3BA87F59" w14:textId="73E9AA11" w:rsidR="00D14D2D" w:rsidRDefault="00000000">
      <w:pPr>
        <w:pStyle w:val="TOC4"/>
        <w:tabs>
          <w:tab w:val="left" w:pos="1540"/>
          <w:tab w:val="right" w:leader="dot" w:pos="9016"/>
        </w:tabs>
        <w:rPr>
          <w:rFonts w:eastAsiaTheme="minorEastAsia"/>
          <w:noProof/>
          <w:lang w:eastAsia="en-GB"/>
        </w:rPr>
      </w:pPr>
      <w:hyperlink w:anchor="_Toc128330075" w:history="1">
        <w:r w:rsidR="00D14D2D" w:rsidRPr="00531D9E">
          <w:rPr>
            <w:rStyle w:val="Hyperlink"/>
            <w:noProof/>
          </w:rPr>
          <w:t>10.5.5</w:t>
        </w:r>
        <w:r w:rsidR="00D14D2D">
          <w:rPr>
            <w:rFonts w:eastAsiaTheme="minorEastAsia"/>
            <w:noProof/>
            <w:lang w:eastAsia="en-GB"/>
          </w:rPr>
          <w:tab/>
        </w:r>
        <w:r w:rsidR="00D14D2D" w:rsidRPr="00531D9E">
          <w:rPr>
            <w:rStyle w:val="Hyperlink"/>
            <w:noProof/>
          </w:rPr>
          <w:t xml:space="preserve"> Referral to Palliative Care Services</w:t>
        </w:r>
        <w:r w:rsidR="00D14D2D">
          <w:rPr>
            <w:noProof/>
            <w:webHidden/>
          </w:rPr>
          <w:tab/>
        </w:r>
        <w:r w:rsidR="00D14D2D">
          <w:rPr>
            <w:noProof/>
            <w:webHidden/>
          </w:rPr>
          <w:fldChar w:fldCharType="begin"/>
        </w:r>
        <w:r w:rsidR="00D14D2D">
          <w:rPr>
            <w:noProof/>
            <w:webHidden/>
          </w:rPr>
          <w:instrText xml:space="preserve"> PAGEREF _Toc128330075 \h </w:instrText>
        </w:r>
        <w:r w:rsidR="00D14D2D">
          <w:rPr>
            <w:noProof/>
            <w:webHidden/>
          </w:rPr>
        </w:r>
        <w:r w:rsidR="00D14D2D">
          <w:rPr>
            <w:noProof/>
            <w:webHidden/>
          </w:rPr>
          <w:fldChar w:fldCharType="separate"/>
        </w:r>
        <w:r w:rsidR="00D14D2D">
          <w:rPr>
            <w:noProof/>
            <w:webHidden/>
          </w:rPr>
          <w:t>83</w:t>
        </w:r>
        <w:r w:rsidR="00D14D2D">
          <w:rPr>
            <w:noProof/>
            <w:webHidden/>
          </w:rPr>
          <w:fldChar w:fldCharType="end"/>
        </w:r>
      </w:hyperlink>
    </w:p>
    <w:p w14:paraId="4A2A5904" w14:textId="160F1C91" w:rsidR="00D14D2D" w:rsidRDefault="00000000">
      <w:pPr>
        <w:pStyle w:val="TOC2"/>
        <w:tabs>
          <w:tab w:val="right" w:leader="dot" w:pos="9016"/>
        </w:tabs>
        <w:rPr>
          <w:rFonts w:eastAsiaTheme="minorEastAsia"/>
          <w:noProof/>
          <w:lang w:eastAsia="en-GB"/>
        </w:rPr>
      </w:pPr>
      <w:hyperlink w:anchor="_Toc128330076" w:history="1">
        <w:r w:rsidR="00D14D2D" w:rsidRPr="00531D9E">
          <w:rPr>
            <w:rStyle w:val="Hyperlink"/>
            <w:noProof/>
          </w:rPr>
          <w:t>References</w:t>
        </w:r>
        <w:r w:rsidR="00D14D2D">
          <w:rPr>
            <w:noProof/>
            <w:webHidden/>
          </w:rPr>
          <w:tab/>
        </w:r>
        <w:r w:rsidR="00D14D2D">
          <w:rPr>
            <w:noProof/>
            <w:webHidden/>
          </w:rPr>
          <w:fldChar w:fldCharType="begin"/>
        </w:r>
        <w:r w:rsidR="00D14D2D">
          <w:rPr>
            <w:noProof/>
            <w:webHidden/>
          </w:rPr>
          <w:instrText xml:space="preserve"> PAGEREF _Toc128330076 \h </w:instrText>
        </w:r>
        <w:r w:rsidR="00D14D2D">
          <w:rPr>
            <w:noProof/>
            <w:webHidden/>
          </w:rPr>
        </w:r>
        <w:r w:rsidR="00D14D2D">
          <w:rPr>
            <w:noProof/>
            <w:webHidden/>
          </w:rPr>
          <w:fldChar w:fldCharType="separate"/>
        </w:r>
        <w:r w:rsidR="00D14D2D">
          <w:rPr>
            <w:noProof/>
            <w:webHidden/>
          </w:rPr>
          <w:t>84</w:t>
        </w:r>
        <w:r w:rsidR="00D14D2D">
          <w:rPr>
            <w:noProof/>
            <w:webHidden/>
          </w:rPr>
          <w:fldChar w:fldCharType="end"/>
        </w:r>
      </w:hyperlink>
    </w:p>
    <w:p w14:paraId="55A5C691" w14:textId="221B6778" w:rsidR="00D14D2D" w:rsidRDefault="00000000">
      <w:pPr>
        <w:pStyle w:val="TOC1"/>
        <w:tabs>
          <w:tab w:val="right" w:leader="dot" w:pos="9016"/>
        </w:tabs>
        <w:rPr>
          <w:rFonts w:eastAsiaTheme="minorEastAsia"/>
          <w:noProof/>
          <w:lang w:eastAsia="en-GB"/>
        </w:rPr>
      </w:pPr>
      <w:hyperlink w:anchor="_Toc128330077" w:history="1">
        <w:r w:rsidR="00D14D2D" w:rsidRPr="00531D9E">
          <w:rPr>
            <w:rStyle w:val="Hyperlink"/>
            <w:rFonts w:eastAsia="Arial"/>
            <w:noProof/>
          </w:rPr>
          <w:t>11 OUTCOMES FOLLOWING RETURN TO DIALYSIS OR RETRANSPLANTATION</w:t>
        </w:r>
        <w:r w:rsidR="00D14D2D">
          <w:rPr>
            <w:noProof/>
            <w:webHidden/>
          </w:rPr>
          <w:tab/>
        </w:r>
        <w:r w:rsidR="00D14D2D">
          <w:rPr>
            <w:noProof/>
            <w:webHidden/>
          </w:rPr>
          <w:fldChar w:fldCharType="begin"/>
        </w:r>
        <w:r w:rsidR="00D14D2D">
          <w:rPr>
            <w:noProof/>
            <w:webHidden/>
          </w:rPr>
          <w:instrText xml:space="preserve"> PAGEREF _Toc128330077 \h </w:instrText>
        </w:r>
        <w:r w:rsidR="00D14D2D">
          <w:rPr>
            <w:noProof/>
            <w:webHidden/>
          </w:rPr>
        </w:r>
        <w:r w:rsidR="00D14D2D">
          <w:rPr>
            <w:noProof/>
            <w:webHidden/>
          </w:rPr>
          <w:fldChar w:fldCharType="separate"/>
        </w:r>
        <w:r w:rsidR="00D14D2D">
          <w:rPr>
            <w:noProof/>
            <w:webHidden/>
          </w:rPr>
          <w:t>86</w:t>
        </w:r>
        <w:r w:rsidR="00D14D2D">
          <w:rPr>
            <w:noProof/>
            <w:webHidden/>
          </w:rPr>
          <w:fldChar w:fldCharType="end"/>
        </w:r>
      </w:hyperlink>
    </w:p>
    <w:p w14:paraId="53BF99E4" w14:textId="7582BEB2" w:rsidR="00D14D2D" w:rsidRDefault="00000000">
      <w:pPr>
        <w:pStyle w:val="TOC2"/>
        <w:tabs>
          <w:tab w:val="right" w:leader="dot" w:pos="9016"/>
        </w:tabs>
        <w:rPr>
          <w:rFonts w:eastAsiaTheme="minorEastAsia"/>
          <w:noProof/>
          <w:lang w:eastAsia="en-GB"/>
        </w:rPr>
      </w:pPr>
      <w:hyperlink w:anchor="_Toc128330078" w:history="1">
        <w:r w:rsidR="00D14D2D" w:rsidRPr="00531D9E">
          <w:rPr>
            <w:rStyle w:val="Hyperlink"/>
            <w:noProof/>
          </w:rPr>
          <w:t>Statements of Recommendation</w:t>
        </w:r>
        <w:r w:rsidR="00D14D2D">
          <w:rPr>
            <w:noProof/>
            <w:webHidden/>
          </w:rPr>
          <w:tab/>
        </w:r>
        <w:r w:rsidR="00D14D2D">
          <w:rPr>
            <w:noProof/>
            <w:webHidden/>
          </w:rPr>
          <w:fldChar w:fldCharType="begin"/>
        </w:r>
        <w:r w:rsidR="00D14D2D">
          <w:rPr>
            <w:noProof/>
            <w:webHidden/>
          </w:rPr>
          <w:instrText xml:space="preserve"> PAGEREF _Toc128330078 \h </w:instrText>
        </w:r>
        <w:r w:rsidR="00D14D2D">
          <w:rPr>
            <w:noProof/>
            <w:webHidden/>
          </w:rPr>
        </w:r>
        <w:r w:rsidR="00D14D2D">
          <w:rPr>
            <w:noProof/>
            <w:webHidden/>
          </w:rPr>
          <w:fldChar w:fldCharType="separate"/>
        </w:r>
        <w:r w:rsidR="00D14D2D">
          <w:rPr>
            <w:noProof/>
            <w:webHidden/>
          </w:rPr>
          <w:t>86</w:t>
        </w:r>
        <w:r w:rsidR="00D14D2D">
          <w:rPr>
            <w:noProof/>
            <w:webHidden/>
          </w:rPr>
          <w:fldChar w:fldCharType="end"/>
        </w:r>
      </w:hyperlink>
    </w:p>
    <w:p w14:paraId="787FAB46" w14:textId="2B4A2C8F" w:rsidR="00D14D2D" w:rsidRDefault="00000000">
      <w:pPr>
        <w:pStyle w:val="TOC2"/>
        <w:tabs>
          <w:tab w:val="right" w:leader="dot" w:pos="9016"/>
        </w:tabs>
        <w:rPr>
          <w:rFonts w:eastAsiaTheme="minorEastAsia"/>
          <w:noProof/>
          <w:lang w:eastAsia="en-GB"/>
        </w:rPr>
      </w:pPr>
      <w:hyperlink w:anchor="_Toc128330079" w:history="1">
        <w:r w:rsidR="00D14D2D" w:rsidRPr="00531D9E">
          <w:rPr>
            <w:rStyle w:val="Hyperlink"/>
            <w:rFonts w:eastAsia="Arial"/>
            <w:noProof/>
          </w:rPr>
          <w:t>Rationale</w:t>
        </w:r>
        <w:r w:rsidR="00D14D2D">
          <w:rPr>
            <w:noProof/>
            <w:webHidden/>
          </w:rPr>
          <w:tab/>
        </w:r>
        <w:r w:rsidR="00D14D2D">
          <w:rPr>
            <w:noProof/>
            <w:webHidden/>
          </w:rPr>
          <w:fldChar w:fldCharType="begin"/>
        </w:r>
        <w:r w:rsidR="00D14D2D">
          <w:rPr>
            <w:noProof/>
            <w:webHidden/>
          </w:rPr>
          <w:instrText xml:space="preserve"> PAGEREF _Toc128330079 \h </w:instrText>
        </w:r>
        <w:r w:rsidR="00D14D2D">
          <w:rPr>
            <w:noProof/>
            <w:webHidden/>
          </w:rPr>
        </w:r>
        <w:r w:rsidR="00D14D2D">
          <w:rPr>
            <w:noProof/>
            <w:webHidden/>
          </w:rPr>
          <w:fldChar w:fldCharType="separate"/>
        </w:r>
        <w:r w:rsidR="00D14D2D">
          <w:rPr>
            <w:noProof/>
            <w:webHidden/>
          </w:rPr>
          <w:t>87</w:t>
        </w:r>
        <w:r w:rsidR="00D14D2D">
          <w:rPr>
            <w:noProof/>
            <w:webHidden/>
          </w:rPr>
          <w:fldChar w:fldCharType="end"/>
        </w:r>
      </w:hyperlink>
    </w:p>
    <w:p w14:paraId="54DA8867" w14:textId="406D9261" w:rsidR="00D14D2D" w:rsidRDefault="00000000">
      <w:pPr>
        <w:pStyle w:val="TOC3"/>
        <w:tabs>
          <w:tab w:val="right" w:leader="dot" w:pos="9016"/>
        </w:tabs>
        <w:rPr>
          <w:rFonts w:eastAsiaTheme="minorEastAsia"/>
          <w:noProof/>
          <w:lang w:eastAsia="en-GB"/>
        </w:rPr>
      </w:pPr>
      <w:hyperlink w:anchor="_Toc128330080" w:history="1">
        <w:r w:rsidR="00D14D2D" w:rsidRPr="00531D9E">
          <w:rPr>
            <w:rStyle w:val="Hyperlink"/>
            <w:rFonts w:eastAsia="Arial"/>
            <w:noProof/>
          </w:rPr>
          <w:t>11.1 Introduction</w:t>
        </w:r>
        <w:r w:rsidR="00D14D2D">
          <w:rPr>
            <w:noProof/>
            <w:webHidden/>
          </w:rPr>
          <w:tab/>
        </w:r>
        <w:r w:rsidR="00D14D2D">
          <w:rPr>
            <w:noProof/>
            <w:webHidden/>
          </w:rPr>
          <w:fldChar w:fldCharType="begin"/>
        </w:r>
        <w:r w:rsidR="00D14D2D">
          <w:rPr>
            <w:noProof/>
            <w:webHidden/>
          </w:rPr>
          <w:instrText xml:space="preserve"> PAGEREF _Toc128330080 \h </w:instrText>
        </w:r>
        <w:r w:rsidR="00D14D2D">
          <w:rPr>
            <w:noProof/>
            <w:webHidden/>
          </w:rPr>
        </w:r>
        <w:r w:rsidR="00D14D2D">
          <w:rPr>
            <w:noProof/>
            <w:webHidden/>
          </w:rPr>
          <w:fldChar w:fldCharType="separate"/>
        </w:r>
        <w:r w:rsidR="00D14D2D">
          <w:rPr>
            <w:noProof/>
            <w:webHidden/>
          </w:rPr>
          <w:t>87</w:t>
        </w:r>
        <w:r w:rsidR="00D14D2D">
          <w:rPr>
            <w:noProof/>
            <w:webHidden/>
          </w:rPr>
          <w:fldChar w:fldCharType="end"/>
        </w:r>
      </w:hyperlink>
    </w:p>
    <w:p w14:paraId="5EAFA784" w14:textId="5288F210" w:rsidR="00D14D2D" w:rsidRDefault="00000000">
      <w:pPr>
        <w:pStyle w:val="TOC3"/>
        <w:tabs>
          <w:tab w:val="right" w:leader="dot" w:pos="9016"/>
        </w:tabs>
        <w:rPr>
          <w:rFonts w:eastAsiaTheme="minorEastAsia"/>
          <w:noProof/>
          <w:lang w:eastAsia="en-GB"/>
        </w:rPr>
      </w:pPr>
      <w:hyperlink w:anchor="_Toc128330081" w:history="1">
        <w:r w:rsidR="00D14D2D" w:rsidRPr="00531D9E">
          <w:rPr>
            <w:rStyle w:val="Hyperlink"/>
            <w:rFonts w:eastAsia="Arial"/>
            <w:noProof/>
          </w:rPr>
          <w:t>11.2 Prevalence of graft failure</w:t>
        </w:r>
        <w:r w:rsidR="00D14D2D">
          <w:rPr>
            <w:noProof/>
            <w:webHidden/>
          </w:rPr>
          <w:tab/>
        </w:r>
        <w:r w:rsidR="00D14D2D">
          <w:rPr>
            <w:noProof/>
            <w:webHidden/>
          </w:rPr>
          <w:fldChar w:fldCharType="begin"/>
        </w:r>
        <w:r w:rsidR="00D14D2D">
          <w:rPr>
            <w:noProof/>
            <w:webHidden/>
          </w:rPr>
          <w:instrText xml:space="preserve"> PAGEREF _Toc128330081 \h </w:instrText>
        </w:r>
        <w:r w:rsidR="00D14D2D">
          <w:rPr>
            <w:noProof/>
            <w:webHidden/>
          </w:rPr>
        </w:r>
        <w:r w:rsidR="00D14D2D">
          <w:rPr>
            <w:noProof/>
            <w:webHidden/>
          </w:rPr>
          <w:fldChar w:fldCharType="separate"/>
        </w:r>
        <w:r w:rsidR="00D14D2D">
          <w:rPr>
            <w:noProof/>
            <w:webHidden/>
          </w:rPr>
          <w:t>87</w:t>
        </w:r>
        <w:r w:rsidR="00D14D2D">
          <w:rPr>
            <w:noProof/>
            <w:webHidden/>
          </w:rPr>
          <w:fldChar w:fldCharType="end"/>
        </w:r>
      </w:hyperlink>
    </w:p>
    <w:p w14:paraId="13BA5377" w14:textId="44255D61" w:rsidR="00D14D2D" w:rsidRDefault="00000000">
      <w:pPr>
        <w:pStyle w:val="TOC3"/>
        <w:tabs>
          <w:tab w:val="left" w:pos="1320"/>
          <w:tab w:val="right" w:leader="dot" w:pos="9016"/>
        </w:tabs>
        <w:rPr>
          <w:rFonts w:eastAsiaTheme="minorEastAsia"/>
          <w:noProof/>
          <w:lang w:eastAsia="en-GB"/>
        </w:rPr>
      </w:pPr>
      <w:hyperlink w:anchor="_Toc128330082" w:history="1">
        <w:r w:rsidR="00D14D2D" w:rsidRPr="00531D9E">
          <w:rPr>
            <w:rStyle w:val="Hyperlink"/>
            <w:rFonts w:eastAsia="Arial"/>
            <w:noProof/>
          </w:rPr>
          <w:t xml:space="preserve">11.3 </w:t>
        </w:r>
        <w:r w:rsidR="00D14D2D">
          <w:rPr>
            <w:rFonts w:eastAsiaTheme="minorEastAsia"/>
            <w:noProof/>
            <w:lang w:eastAsia="en-GB"/>
          </w:rPr>
          <w:tab/>
        </w:r>
        <w:r w:rsidR="00D14D2D" w:rsidRPr="00531D9E">
          <w:rPr>
            <w:rStyle w:val="Hyperlink"/>
            <w:rFonts w:eastAsia="Arial"/>
            <w:noProof/>
          </w:rPr>
          <w:t>Prognosis after graft failure</w:t>
        </w:r>
        <w:r w:rsidR="00D14D2D">
          <w:rPr>
            <w:noProof/>
            <w:webHidden/>
          </w:rPr>
          <w:tab/>
        </w:r>
        <w:r w:rsidR="00D14D2D">
          <w:rPr>
            <w:noProof/>
            <w:webHidden/>
          </w:rPr>
          <w:fldChar w:fldCharType="begin"/>
        </w:r>
        <w:r w:rsidR="00D14D2D">
          <w:rPr>
            <w:noProof/>
            <w:webHidden/>
          </w:rPr>
          <w:instrText xml:space="preserve"> PAGEREF _Toc128330082 \h </w:instrText>
        </w:r>
        <w:r w:rsidR="00D14D2D">
          <w:rPr>
            <w:noProof/>
            <w:webHidden/>
          </w:rPr>
        </w:r>
        <w:r w:rsidR="00D14D2D">
          <w:rPr>
            <w:noProof/>
            <w:webHidden/>
          </w:rPr>
          <w:fldChar w:fldCharType="separate"/>
        </w:r>
        <w:r w:rsidR="00D14D2D">
          <w:rPr>
            <w:noProof/>
            <w:webHidden/>
          </w:rPr>
          <w:t>88</w:t>
        </w:r>
        <w:r w:rsidR="00D14D2D">
          <w:rPr>
            <w:noProof/>
            <w:webHidden/>
          </w:rPr>
          <w:fldChar w:fldCharType="end"/>
        </w:r>
      </w:hyperlink>
    </w:p>
    <w:p w14:paraId="6E20ADE8" w14:textId="0593566B" w:rsidR="00D14D2D" w:rsidRDefault="00000000">
      <w:pPr>
        <w:pStyle w:val="TOC4"/>
        <w:tabs>
          <w:tab w:val="left" w:pos="1540"/>
          <w:tab w:val="right" w:leader="dot" w:pos="9016"/>
        </w:tabs>
        <w:rPr>
          <w:rFonts w:eastAsiaTheme="minorEastAsia"/>
          <w:noProof/>
          <w:lang w:eastAsia="en-GB"/>
        </w:rPr>
      </w:pPr>
      <w:hyperlink w:anchor="_Toc128330083" w:history="1">
        <w:r w:rsidR="00D14D2D" w:rsidRPr="00531D9E">
          <w:rPr>
            <w:rStyle w:val="Hyperlink"/>
            <w:rFonts w:eastAsia="Arial"/>
            <w:noProof/>
          </w:rPr>
          <w:t>11.3.1</w:t>
        </w:r>
        <w:r w:rsidR="00D14D2D">
          <w:rPr>
            <w:rFonts w:eastAsiaTheme="minorEastAsia"/>
            <w:noProof/>
            <w:lang w:eastAsia="en-GB"/>
          </w:rPr>
          <w:tab/>
        </w:r>
        <w:r w:rsidR="00D14D2D" w:rsidRPr="00531D9E">
          <w:rPr>
            <w:rStyle w:val="Hyperlink"/>
            <w:rFonts w:eastAsia="Arial"/>
            <w:noProof/>
          </w:rPr>
          <w:t xml:space="preserve"> Death</w:t>
        </w:r>
        <w:r w:rsidR="00D14D2D">
          <w:rPr>
            <w:noProof/>
            <w:webHidden/>
          </w:rPr>
          <w:tab/>
        </w:r>
        <w:r w:rsidR="00D14D2D">
          <w:rPr>
            <w:noProof/>
            <w:webHidden/>
          </w:rPr>
          <w:fldChar w:fldCharType="begin"/>
        </w:r>
        <w:r w:rsidR="00D14D2D">
          <w:rPr>
            <w:noProof/>
            <w:webHidden/>
          </w:rPr>
          <w:instrText xml:space="preserve"> PAGEREF _Toc128330083 \h </w:instrText>
        </w:r>
        <w:r w:rsidR="00D14D2D">
          <w:rPr>
            <w:noProof/>
            <w:webHidden/>
          </w:rPr>
        </w:r>
        <w:r w:rsidR="00D14D2D">
          <w:rPr>
            <w:noProof/>
            <w:webHidden/>
          </w:rPr>
          <w:fldChar w:fldCharType="separate"/>
        </w:r>
        <w:r w:rsidR="00D14D2D">
          <w:rPr>
            <w:noProof/>
            <w:webHidden/>
          </w:rPr>
          <w:t>88</w:t>
        </w:r>
        <w:r w:rsidR="00D14D2D">
          <w:rPr>
            <w:noProof/>
            <w:webHidden/>
          </w:rPr>
          <w:fldChar w:fldCharType="end"/>
        </w:r>
      </w:hyperlink>
    </w:p>
    <w:p w14:paraId="76BC8787" w14:textId="54484400" w:rsidR="00D14D2D" w:rsidRDefault="00000000">
      <w:pPr>
        <w:pStyle w:val="TOC4"/>
        <w:tabs>
          <w:tab w:val="left" w:pos="1540"/>
          <w:tab w:val="right" w:leader="dot" w:pos="9016"/>
        </w:tabs>
        <w:rPr>
          <w:rFonts w:eastAsiaTheme="minorEastAsia"/>
          <w:noProof/>
          <w:lang w:eastAsia="en-GB"/>
        </w:rPr>
      </w:pPr>
      <w:hyperlink w:anchor="_Toc128330084" w:history="1">
        <w:r w:rsidR="00D14D2D" w:rsidRPr="00531D9E">
          <w:rPr>
            <w:rStyle w:val="Hyperlink"/>
            <w:rFonts w:eastAsia="Arial"/>
            <w:noProof/>
          </w:rPr>
          <w:t xml:space="preserve">11.3.2 </w:t>
        </w:r>
        <w:r w:rsidR="00D14D2D">
          <w:rPr>
            <w:rFonts w:eastAsiaTheme="minorEastAsia"/>
            <w:noProof/>
            <w:lang w:eastAsia="en-GB"/>
          </w:rPr>
          <w:tab/>
        </w:r>
        <w:r w:rsidR="00D14D2D" w:rsidRPr="00531D9E">
          <w:rPr>
            <w:rStyle w:val="Hyperlink"/>
            <w:rFonts w:eastAsia="Arial"/>
            <w:noProof/>
          </w:rPr>
          <w:t xml:space="preserve"> Sensitisation</w:t>
        </w:r>
        <w:r w:rsidR="00D14D2D">
          <w:rPr>
            <w:noProof/>
            <w:webHidden/>
          </w:rPr>
          <w:tab/>
        </w:r>
        <w:r w:rsidR="00D14D2D">
          <w:rPr>
            <w:noProof/>
            <w:webHidden/>
          </w:rPr>
          <w:fldChar w:fldCharType="begin"/>
        </w:r>
        <w:r w:rsidR="00D14D2D">
          <w:rPr>
            <w:noProof/>
            <w:webHidden/>
          </w:rPr>
          <w:instrText xml:space="preserve"> PAGEREF _Toc128330084 \h </w:instrText>
        </w:r>
        <w:r w:rsidR="00D14D2D">
          <w:rPr>
            <w:noProof/>
            <w:webHidden/>
          </w:rPr>
        </w:r>
        <w:r w:rsidR="00D14D2D">
          <w:rPr>
            <w:noProof/>
            <w:webHidden/>
          </w:rPr>
          <w:fldChar w:fldCharType="separate"/>
        </w:r>
        <w:r w:rsidR="00D14D2D">
          <w:rPr>
            <w:noProof/>
            <w:webHidden/>
          </w:rPr>
          <w:t>89</w:t>
        </w:r>
        <w:r w:rsidR="00D14D2D">
          <w:rPr>
            <w:noProof/>
            <w:webHidden/>
          </w:rPr>
          <w:fldChar w:fldCharType="end"/>
        </w:r>
      </w:hyperlink>
    </w:p>
    <w:p w14:paraId="39A835C3" w14:textId="19A3C333" w:rsidR="00D14D2D" w:rsidRDefault="00000000">
      <w:pPr>
        <w:pStyle w:val="TOC4"/>
        <w:tabs>
          <w:tab w:val="left" w:pos="1540"/>
          <w:tab w:val="right" w:leader="dot" w:pos="9016"/>
        </w:tabs>
        <w:rPr>
          <w:rFonts w:eastAsiaTheme="minorEastAsia"/>
          <w:noProof/>
          <w:lang w:eastAsia="en-GB"/>
        </w:rPr>
      </w:pPr>
      <w:hyperlink w:anchor="_Toc128330085" w:history="1">
        <w:r w:rsidR="00D14D2D" w:rsidRPr="00531D9E">
          <w:rPr>
            <w:rStyle w:val="Hyperlink"/>
            <w:rFonts w:eastAsia="Arial"/>
            <w:noProof/>
          </w:rPr>
          <w:t xml:space="preserve">11.3.3 </w:t>
        </w:r>
        <w:r w:rsidR="00D14D2D">
          <w:rPr>
            <w:rFonts w:eastAsiaTheme="minorEastAsia"/>
            <w:noProof/>
            <w:lang w:eastAsia="en-GB"/>
          </w:rPr>
          <w:tab/>
        </w:r>
        <w:r w:rsidR="00D14D2D" w:rsidRPr="00531D9E">
          <w:rPr>
            <w:rStyle w:val="Hyperlink"/>
            <w:rFonts w:eastAsia="Arial"/>
            <w:noProof/>
          </w:rPr>
          <w:t xml:space="preserve"> Relisting</w:t>
        </w:r>
        <w:r w:rsidR="00D14D2D">
          <w:rPr>
            <w:noProof/>
            <w:webHidden/>
          </w:rPr>
          <w:tab/>
        </w:r>
        <w:r w:rsidR="00D14D2D">
          <w:rPr>
            <w:noProof/>
            <w:webHidden/>
          </w:rPr>
          <w:fldChar w:fldCharType="begin"/>
        </w:r>
        <w:r w:rsidR="00D14D2D">
          <w:rPr>
            <w:noProof/>
            <w:webHidden/>
          </w:rPr>
          <w:instrText xml:space="preserve"> PAGEREF _Toc128330085 \h </w:instrText>
        </w:r>
        <w:r w:rsidR="00D14D2D">
          <w:rPr>
            <w:noProof/>
            <w:webHidden/>
          </w:rPr>
        </w:r>
        <w:r w:rsidR="00D14D2D">
          <w:rPr>
            <w:noProof/>
            <w:webHidden/>
          </w:rPr>
          <w:fldChar w:fldCharType="separate"/>
        </w:r>
        <w:r w:rsidR="00D14D2D">
          <w:rPr>
            <w:noProof/>
            <w:webHidden/>
          </w:rPr>
          <w:t>90</w:t>
        </w:r>
        <w:r w:rsidR="00D14D2D">
          <w:rPr>
            <w:noProof/>
            <w:webHidden/>
          </w:rPr>
          <w:fldChar w:fldCharType="end"/>
        </w:r>
      </w:hyperlink>
    </w:p>
    <w:p w14:paraId="05234D17" w14:textId="70689DC8" w:rsidR="00D14D2D" w:rsidRDefault="00000000">
      <w:pPr>
        <w:pStyle w:val="TOC3"/>
        <w:tabs>
          <w:tab w:val="right" w:leader="dot" w:pos="9016"/>
        </w:tabs>
        <w:rPr>
          <w:rFonts w:eastAsiaTheme="minorEastAsia"/>
          <w:noProof/>
          <w:lang w:eastAsia="en-GB"/>
        </w:rPr>
      </w:pPr>
      <w:hyperlink w:anchor="_Toc128330086" w:history="1">
        <w:r w:rsidR="00D14D2D" w:rsidRPr="00531D9E">
          <w:rPr>
            <w:rStyle w:val="Hyperlink"/>
            <w:rFonts w:eastAsia="Arial"/>
            <w:noProof/>
          </w:rPr>
          <w:t>11.4 Outcome of RFKTs following repeat transplantation</w:t>
        </w:r>
        <w:r w:rsidR="00D14D2D">
          <w:rPr>
            <w:noProof/>
            <w:webHidden/>
          </w:rPr>
          <w:tab/>
        </w:r>
        <w:r w:rsidR="00D14D2D">
          <w:rPr>
            <w:noProof/>
            <w:webHidden/>
          </w:rPr>
          <w:fldChar w:fldCharType="begin"/>
        </w:r>
        <w:r w:rsidR="00D14D2D">
          <w:rPr>
            <w:noProof/>
            <w:webHidden/>
          </w:rPr>
          <w:instrText xml:space="preserve"> PAGEREF _Toc128330086 \h </w:instrText>
        </w:r>
        <w:r w:rsidR="00D14D2D">
          <w:rPr>
            <w:noProof/>
            <w:webHidden/>
          </w:rPr>
        </w:r>
        <w:r w:rsidR="00D14D2D">
          <w:rPr>
            <w:noProof/>
            <w:webHidden/>
          </w:rPr>
          <w:fldChar w:fldCharType="separate"/>
        </w:r>
        <w:r w:rsidR="00D14D2D">
          <w:rPr>
            <w:noProof/>
            <w:webHidden/>
          </w:rPr>
          <w:t>92</w:t>
        </w:r>
        <w:r w:rsidR="00D14D2D">
          <w:rPr>
            <w:noProof/>
            <w:webHidden/>
          </w:rPr>
          <w:fldChar w:fldCharType="end"/>
        </w:r>
      </w:hyperlink>
    </w:p>
    <w:p w14:paraId="36511744" w14:textId="23171537" w:rsidR="00D14D2D" w:rsidRDefault="00000000">
      <w:pPr>
        <w:pStyle w:val="TOC4"/>
        <w:tabs>
          <w:tab w:val="left" w:pos="1540"/>
          <w:tab w:val="right" w:leader="dot" w:pos="9016"/>
        </w:tabs>
        <w:rPr>
          <w:rFonts w:eastAsiaTheme="minorEastAsia"/>
          <w:noProof/>
          <w:lang w:eastAsia="en-GB"/>
        </w:rPr>
      </w:pPr>
      <w:hyperlink w:anchor="_Toc128330087" w:history="1">
        <w:r w:rsidR="00D14D2D" w:rsidRPr="00531D9E">
          <w:rPr>
            <w:rStyle w:val="Hyperlink"/>
            <w:rFonts w:eastAsia="Arial"/>
            <w:noProof/>
          </w:rPr>
          <w:t xml:space="preserve">11.4.1 </w:t>
        </w:r>
        <w:r w:rsidR="00D14D2D">
          <w:rPr>
            <w:rFonts w:eastAsiaTheme="minorEastAsia"/>
            <w:noProof/>
            <w:lang w:eastAsia="en-GB"/>
          </w:rPr>
          <w:tab/>
        </w:r>
        <w:r w:rsidR="00D14D2D" w:rsidRPr="00531D9E">
          <w:rPr>
            <w:rStyle w:val="Hyperlink"/>
            <w:rFonts w:eastAsia="Arial"/>
            <w:noProof/>
          </w:rPr>
          <w:t xml:space="preserve"> Patient survival after repeat transplantation</w:t>
        </w:r>
        <w:r w:rsidR="00D14D2D">
          <w:rPr>
            <w:noProof/>
            <w:webHidden/>
          </w:rPr>
          <w:tab/>
        </w:r>
        <w:r w:rsidR="00D14D2D">
          <w:rPr>
            <w:noProof/>
            <w:webHidden/>
          </w:rPr>
          <w:fldChar w:fldCharType="begin"/>
        </w:r>
        <w:r w:rsidR="00D14D2D">
          <w:rPr>
            <w:noProof/>
            <w:webHidden/>
          </w:rPr>
          <w:instrText xml:space="preserve"> PAGEREF _Toc128330087 \h </w:instrText>
        </w:r>
        <w:r w:rsidR="00D14D2D">
          <w:rPr>
            <w:noProof/>
            <w:webHidden/>
          </w:rPr>
        </w:r>
        <w:r w:rsidR="00D14D2D">
          <w:rPr>
            <w:noProof/>
            <w:webHidden/>
          </w:rPr>
          <w:fldChar w:fldCharType="separate"/>
        </w:r>
        <w:r w:rsidR="00D14D2D">
          <w:rPr>
            <w:noProof/>
            <w:webHidden/>
          </w:rPr>
          <w:t>92</w:t>
        </w:r>
        <w:r w:rsidR="00D14D2D">
          <w:rPr>
            <w:noProof/>
            <w:webHidden/>
          </w:rPr>
          <w:fldChar w:fldCharType="end"/>
        </w:r>
      </w:hyperlink>
    </w:p>
    <w:p w14:paraId="5FF6501C" w14:textId="1CFF10EF" w:rsidR="00D14D2D" w:rsidRDefault="00000000">
      <w:pPr>
        <w:pStyle w:val="TOC4"/>
        <w:tabs>
          <w:tab w:val="left" w:pos="1540"/>
          <w:tab w:val="right" w:leader="dot" w:pos="9016"/>
        </w:tabs>
        <w:rPr>
          <w:rFonts w:eastAsiaTheme="minorEastAsia"/>
          <w:noProof/>
          <w:lang w:eastAsia="en-GB"/>
        </w:rPr>
      </w:pPr>
      <w:hyperlink w:anchor="_Toc128330088" w:history="1">
        <w:r w:rsidR="00D14D2D" w:rsidRPr="00531D9E">
          <w:rPr>
            <w:rStyle w:val="Hyperlink"/>
            <w:rFonts w:eastAsia="Arial"/>
            <w:noProof/>
          </w:rPr>
          <w:t xml:space="preserve">11.4.2 </w:t>
        </w:r>
        <w:r w:rsidR="00D14D2D">
          <w:rPr>
            <w:rFonts w:eastAsiaTheme="minorEastAsia"/>
            <w:noProof/>
            <w:lang w:eastAsia="en-GB"/>
          </w:rPr>
          <w:tab/>
        </w:r>
        <w:r w:rsidR="00D14D2D" w:rsidRPr="00531D9E">
          <w:rPr>
            <w:rStyle w:val="Hyperlink"/>
            <w:rFonts w:eastAsia="Arial"/>
            <w:noProof/>
          </w:rPr>
          <w:t xml:space="preserve"> Graft survival after repeat transplantation</w:t>
        </w:r>
        <w:r w:rsidR="00D14D2D">
          <w:rPr>
            <w:noProof/>
            <w:webHidden/>
          </w:rPr>
          <w:tab/>
        </w:r>
        <w:r w:rsidR="00D14D2D">
          <w:rPr>
            <w:noProof/>
            <w:webHidden/>
          </w:rPr>
          <w:fldChar w:fldCharType="begin"/>
        </w:r>
        <w:r w:rsidR="00D14D2D">
          <w:rPr>
            <w:noProof/>
            <w:webHidden/>
          </w:rPr>
          <w:instrText xml:space="preserve"> PAGEREF _Toc128330088 \h </w:instrText>
        </w:r>
        <w:r w:rsidR="00D14D2D">
          <w:rPr>
            <w:noProof/>
            <w:webHidden/>
          </w:rPr>
        </w:r>
        <w:r w:rsidR="00D14D2D">
          <w:rPr>
            <w:noProof/>
            <w:webHidden/>
          </w:rPr>
          <w:fldChar w:fldCharType="separate"/>
        </w:r>
        <w:r w:rsidR="00D14D2D">
          <w:rPr>
            <w:noProof/>
            <w:webHidden/>
          </w:rPr>
          <w:t>93</w:t>
        </w:r>
        <w:r w:rsidR="00D14D2D">
          <w:rPr>
            <w:noProof/>
            <w:webHidden/>
          </w:rPr>
          <w:fldChar w:fldCharType="end"/>
        </w:r>
      </w:hyperlink>
    </w:p>
    <w:p w14:paraId="076C3C29" w14:textId="5F9D6B3B" w:rsidR="00D14D2D" w:rsidRDefault="00000000">
      <w:pPr>
        <w:pStyle w:val="TOC4"/>
        <w:tabs>
          <w:tab w:val="left" w:pos="1540"/>
          <w:tab w:val="right" w:leader="dot" w:pos="9016"/>
        </w:tabs>
        <w:rPr>
          <w:rFonts w:eastAsiaTheme="minorEastAsia"/>
          <w:noProof/>
          <w:lang w:eastAsia="en-GB"/>
        </w:rPr>
      </w:pPr>
      <w:hyperlink w:anchor="_Toc128330089" w:history="1">
        <w:r w:rsidR="00D14D2D" w:rsidRPr="00531D9E">
          <w:rPr>
            <w:rStyle w:val="Hyperlink"/>
            <w:rFonts w:eastAsia="Arial"/>
            <w:noProof/>
          </w:rPr>
          <w:t xml:space="preserve">11.4.3 </w:t>
        </w:r>
        <w:r w:rsidR="00D14D2D">
          <w:rPr>
            <w:rFonts w:eastAsiaTheme="minorEastAsia"/>
            <w:noProof/>
            <w:lang w:eastAsia="en-GB"/>
          </w:rPr>
          <w:tab/>
        </w:r>
        <w:r w:rsidR="00D14D2D" w:rsidRPr="00531D9E">
          <w:rPr>
            <w:rStyle w:val="Hyperlink"/>
            <w:rFonts w:eastAsia="Arial"/>
            <w:noProof/>
          </w:rPr>
          <w:t xml:space="preserve"> Effect of donor type on graft survival</w:t>
        </w:r>
        <w:r w:rsidR="00D14D2D">
          <w:rPr>
            <w:noProof/>
            <w:webHidden/>
          </w:rPr>
          <w:tab/>
        </w:r>
        <w:r w:rsidR="00D14D2D">
          <w:rPr>
            <w:noProof/>
            <w:webHidden/>
          </w:rPr>
          <w:fldChar w:fldCharType="begin"/>
        </w:r>
        <w:r w:rsidR="00D14D2D">
          <w:rPr>
            <w:noProof/>
            <w:webHidden/>
          </w:rPr>
          <w:instrText xml:space="preserve"> PAGEREF _Toc128330089 \h </w:instrText>
        </w:r>
        <w:r w:rsidR="00D14D2D">
          <w:rPr>
            <w:noProof/>
            <w:webHidden/>
          </w:rPr>
        </w:r>
        <w:r w:rsidR="00D14D2D">
          <w:rPr>
            <w:noProof/>
            <w:webHidden/>
          </w:rPr>
          <w:fldChar w:fldCharType="separate"/>
        </w:r>
        <w:r w:rsidR="00D14D2D">
          <w:rPr>
            <w:noProof/>
            <w:webHidden/>
          </w:rPr>
          <w:t>94</w:t>
        </w:r>
        <w:r w:rsidR="00D14D2D">
          <w:rPr>
            <w:noProof/>
            <w:webHidden/>
          </w:rPr>
          <w:fldChar w:fldCharType="end"/>
        </w:r>
      </w:hyperlink>
    </w:p>
    <w:p w14:paraId="5E4C9948" w14:textId="4F95683D" w:rsidR="00D14D2D" w:rsidRDefault="00000000">
      <w:pPr>
        <w:pStyle w:val="TOC3"/>
        <w:tabs>
          <w:tab w:val="right" w:leader="dot" w:pos="9016"/>
        </w:tabs>
        <w:rPr>
          <w:rFonts w:eastAsiaTheme="minorEastAsia"/>
          <w:noProof/>
          <w:lang w:eastAsia="en-GB"/>
        </w:rPr>
      </w:pPr>
      <w:hyperlink w:anchor="_Toc128330090" w:history="1">
        <w:r w:rsidR="00D14D2D" w:rsidRPr="00531D9E">
          <w:rPr>
            <w:rStyle w:val="Hyperlink"/>
            <w:rFonts w:eastAsia="Arial"/>
            <w:noProof/>
          </w:rPr>
          <w:t>11.5 Conclusion</w:t>
        </w:r>
        <w:r w:rsidR="00D14D2D">
          <w:rPr>
            <w:noProof/>
            <w:webHidden/>
          </w:rPr>
          <w:tab/>
        </w:r>
        <w:r w:rsidR="00D14D2D">
          <w:rPr>
            <w:noProof/>
            <w:webHidden/>
          </w:rPr>
          <w:fldChar w:fldCharType="begin"/>
        </w:r>
        <w:r w:rsidR="00D14D2D">
          <w:rPr>
            <w:noProof/>
            <w:webHidden/>
          </w:rPr>
          <w:instrText xml:space="preserve"> PAGEREF _Toc128330090 \h </w:instrText>
        </w:r>
        <w:r w:rsidR="00D14D2D">
          <w:rPr>
            <w:noProof/>
            <w:webHidden/>
          </w:rPr>
        </w:r>
        <w:r w:rsidR="00D14D2D">
          <w:rPr>
            <w:noProof/>
            <w:webHidden/>
          </w:rPr>
          <w:fldChar w:fldCharType="separate"/>
        </w:r>
        <w:r w:rsidR="00D14D2D">
          <w:rPr>
            <w:noProof/>
            <w:webHidden/>
          </w:rPr>
          <w:t>96</w:t>
        </w:r>
        <w:r w:rsidR="00D14D2D">
          <w:rPr>
            <w:noProof/>
            <w:webHidden/>
          </w:rPr>
          <w:fldChar w:fldCharType="end"/>
        </w:r>
      </w:hyperlink>
    </w:p>
    <w:p w14:paraId="3BA13553" w14:textId="3DBA2DDE" w:rsidR="00D14D2D" w:rsidRDefault="00000000">
      <w:pPr>
        <w:pStyle w:val="TOC2"/>
        <w:tabs>
          <w:tab w:val="right" w:leader="dot" w:pos="9016"/>
        </w:tabs>
        <w:rPr>
          <w:rFonts w:eastAsiaTheme="minorEastAsia"/>
          <w:noProof/>
          <w:lang w:eastAsia="en-GB"/>
        </w:rPr>
      </w:pPr>
      <w:hyperlink w:anchor="_Toc128330091" w:history="1">
        <w:r w:rsidR="00D14D2D" w:rsidRPr="00531D9E">
          <w:rPr>
            <w:rStyle w:val="Hyperlink"/>
            <w:rFonts w:eastAsia="Arial"/>
            <w:noProof/>
          </w:rPr>
          <w:t>References</w:t>
        </w:r>
        <w:r w:rsidR="00D14D2D">
          <w:rPr>
            <w:noProof/>
            <w:webHidden/>
          </w:rPr>
          <w:tab/>
        </w:r>
        <w:r w:rsidR="00D14D2D">
          <w:rPr>
            <w:noProof/>
            <w:webHidden/>
          </w:rPr>
          <w:fldChar w:fldCharType="begin"/>
        </w:r>
        <w:r w:rsidR="00D14D2D">
          <w:rPr>
            <w:noProof/>
            <w:webHidden/>
          </w:rPr>
          <w:instrText xml:space="preserve"> PAGEREF _Toc128330091 \h </w:instrText>
        </w:r>
        <w:r w:rsidR="00D14D2D">
          <w:rPr>
            <w:noProof/>
            <w:webHidden/>
          </w:rPr>
        </w:r>
        <w:r w:rsidR="00D14D2D">
          <w:rPr>
            <w:noProof/>
            <w:webHidden/>
          </w:rPr>
          <w:fldChar w:fldCharType="separate"/>
        </w:r>
        <w:r w:rsidR="00D14D2D">
          <w:rPr>
            <w:noProof/>
            <w:webHidden/>
          </w:rPr>
          <w:t>96</w:t>
        </w:r>
        <w:r w:rsidR="00D14D2D">
          <w:rPr>
            <w:noProof/>
            <w:webHidden/>
          </w:rPr>
          <w:fldChar w:fldCharType="end"/>
        </w:r>
      </w:hyperlink>
    </w:p>
    <w:p w14:paraId="61AFCD2F" w14:textId="328786A6" w:rsidR="003907A2" w:rsidRDefault="006D0F61" w:rsidP="006611E8">
      <w:pPr>
        <w:pStyle w:val="Heading1"/>
        <w:spacing w:before="0" w:after="160" w:line="276" w:lineRule="auto"/>
      </w:pPr>
      <w:r>
        <w:fldChar w:fldCharType="end"/>
      </w:r>
      <w:bookmarkStart w:id="0" w:name="_Toc128329909"/>
      <w:r w:rsidR="003907A2">
        <w:t>Introduction</w:t>
      </w:r>
      <w:bookmarkEnd w:id="0"/>
    </w:p>
    <w:p w14:paraId="02CDB69C" w14:textId="77777777" w:rsidR="00F546C1" w:rsidRDefault="00F546C1" w:rsidP="006611E8">
      <w:pPr>
        <w:pStyle w:val="Heading2"/>
        <w:spacing w:before="0" w:after="160" w:line="276" w:lineRule="auto"/>
      </w:pPr>
      <w:bookmarkStart w:id="1" w:name="_Toc128329910"/>
      <w:r>
        <w:t>The need for the guideline</w:t>
      </w:r>
      <w:bookmarkEnd w:id="1"/>
    </w:p>
    <w:p w14:paraId="7E94ADA8" w14:textId="408A722C" w:rsidR="00B41461" w:rsidRDefault="00355D31" w:rsidP="00D23A98">
      <w:pPr>
        <w:spacing w:line="276" w:lineRule="auto"/>
        <w:jc w:val="both"/>
      </w:pPr>
      <w:r>
        <w:t xml:space="preserve">Despite </w:t>
      </w:r>
      <w:r w:rsidR="00A412F6">
        <w:t xml:space="preserve">significant </w:t>
      </w:r>
      <w:r>
        <w:t>advances in medical care</w:t>
      </w:r>
      <w:r w:rsidR="00A412F6">
        <w:t xml:space="preserve"> over the last few decades</w:t>
      </w:r>
      <w:r>
        <w:t xml:space="preserve">, </w:t>
      </w:r>
      <w:r w:rsidR="00E87848">
        <w:t xml:space="preserve">kidney </w:t>
      </w:r>
      <w:r>
        <w:t>t</w:t>
      </w:r>
      <w:r w:rsidR="00547CD0">
        <w:t xml:space="preserve">ransplants </w:t>
      </w:r>
      <w:r w:rsidR="00E87848">
        <w:t xml:space="preserve">frequently </w:t>
      </w:r>
      <w:r w:rsidR="00547CD0">
        <w:t xml:space="preserve">do not </w:t>
      </w:r>
      <w:r w:rsidR="009372D3">
        <w:t xml:space="preserve">function for </w:t>
      </w:r>
      <w:r w:rsidR="00547CD0">
        <w:t xml:space="preserve">the lifetime of recipients. 30 – 40 % </w:t>
      </w:r>
      <w:r w:rsidR="00280BC8">
        <w:t xml:space="preserve">of </w:t>
      </w:r>
      <w:r w:rsidR="00E87848">
        <w:t xml:space="preserve">kidney transplants </w:t>
      </w:r>
      <w:r w:rsidR="00547CD0">
        <w:t>fail during the first 10 years following transplantation and around 3% of prevalent grafts fail annually</w:t>
      </w:r>
      <w:r w:rsidR="00274579">
        <w:fldChar w:fldCharType="begin"/>
      </w:r>
      <w:r w:rsidR="00274579">
        <w:instrText xml:space="preserve"> ADDIN EN.CITE &lt;EndNote&gt;&lt;Cite&gt;&lt;RecNum&gt;1117&lt;/RecNum&gt;&lt;DisplayText&gt;&lt;style face="superscript"&gt;1&lt;/style&gt;&lt;/DisplayText&gt;&lt;record&gt;&lt;rec-number&gt;1117&lt;/rec-number&gt;&lt;foreign-keys&gt;&lt;key app="EN" db-id="2erfxtrp4es29re0e0qv5x5tpxp2s0xderet" timestamp="1675179351"&gt;1117&lt;/key&gt;&lt;key app="ENWeb" db-id=""&gt;0&lt;/key&gt;&lt;/foreign-keys&gt;&lt;ref-type name="Report"&gt;27&lt;/ref-type&gt;&lt;contributors&gt;&lt;/contributors&gt;&lt;titles&gt;&lt;title&gt;Organ and Tissue Donation and Transplantation Activity Report 2021/22&lt;/title&gt;&lt;/titles&gt;&lt;dates&gt;&lt;/dates&gt;&lt;urls&gt;&lt;/urls&gt;&lt;/record&gt;&lt;/Cite&gt;&lt;/EndNote&gt;</w:instrText>
      </w:r>
      <w:r w:rsidR="00274579">
        <w:fldChar w:fldCharType="separate"/>
      </w:r>
      <w:r w:rsidR="00274579" w:rsidRPr="00274579">
        <w:rPr>
          <w:noProof/>
          <w:vertAlign w:val="superscript"/>
        </w:rPr>
        <w:t>1</w:t>
      </w:r>
      <w:r w:rsidR="00274579">
        <w:fldChar w:fldCharType="end"/>
      </w:r>
      <w:r w:rsidR="00547CD0">
        <w:t xml:space="preserve">. </w:t>
      </w:r>
      <w:r w:rsidR="00B41461">
        <w:t>Patients whose transplants have failed currently constitute approximately 4% of the incident dialysis population and 16% of those on the transplant waiting list</w:t>
      </w:r>
      <w:r w:rsidR="00E278EC">
        <w:fldChar w:fldCharType="begin"/>
      </w:r>
      <w:r w:rsidR="00E278EC">
        <w:instrText xml:space="preserve"> ADDIN EN.CITE &lt;EndNote&gt;&lt;Cite&gt;&lt;RecNum&gt;1111&lt;/RecNum&gt;&lt;DisplayText&gt;&lt;style face="superscript"&gt;1,2&lt;/style&gt;&lt;/DisplayText&gt;&lt;record&gt;&lt;rec-number&gt;1111&lt;/rec-number&gt;&lt;foreign-keys&gt;&lt;key app="EN" db-id="2erfxtrp4es29re0e0qv5x5tpxp2s0xderet" timestamp="1675016141"&gt;1111&lt;/key&gt;&lt;key app="ENWeb" db-id=""&gt;0&lt;/key&gt;&lt;/foreign-keys&gt;&lt;ref-type name="Report"&gt;27&lt;/ref-type&gt;&lt;contributors&gt;&lt;/contributors&gt;&lt;titles&gt;&lt;title&gt;UK Renal Registry 24th Annual Report&lt;/title&gt;&lt;/titles&gt;&lt;dates&gt;&lt;/dates&gt;&lt;urls&gt;&lt;/urls&gt;&lt;/record&gt;&lt;/Cite&gt;&lt;Cite&gt;&lt;RecNum&gt;1117&lt;/RecNum&gt;&lt;record&gt;&lt;rec-number&gt;1117&lt;/rec-number&gt;&lt;foreign-keys&gt;&lt;key app="EN" db-id="2erfxtrp4es29re0e0qv5x5tpxp2s0xderet" timestamp="1675179351"&gt;1117&lt;/key&gt;&lt;key app="ENWeb" db-id=""&gt;0&lt;/key&gt;&lt;/foreign-keys&gt;&lt;ref-type name="Report"&gt;27&lt;/ref-type&gt;&lt;contributors&gt;&lt;/contributors&gt;&lt;titles&gt;&lt;title&gt;Organ and Tissue Donation and Transplantation Activity Report 2021/22&lt;/title&gt;&lt;/titles&gt;&lt;dates&gt;&lt;/dates&gt;&lt;urls&gt;&lt;/urls&gt;&lt;/record&gt;&lt;/Cite&gt;&lt;/EndNote&gt;</w:instrText>
      </w:r>
      <w:r w:rsidR="00E278EC">
        <w:fldChar w:fldCharType="separate"/>
      </w:r>
      <w:r w:rsidR="00E278EC" w:rsidRPr="00E278EC">
        <w:rPr>
          <w:noProof/>
          <w:vertAlign w:val="superscript"/>
        </w:rPr>
        <w:t>1,2</w:t>
      </w:r>
      <w:r w:rsidR="00E278EC">
        <w:fldChar w:fldCharType="end"/>
      </w:r>
      <w:r w:rsidR="00B41461">
        <w:t>. As more kidney transplants are performed, it is inevitable that despite improvements in graft survival</w:t>
      </w:r>
      <w:r w:rsidR="00280BC8">
        <w:t>,</w:t>
      </w:r>
      <w:r w:rsidR="00B41461">
        <w:t xml:space="preserve"> the number of patients with failing grafts will increase. </w:t>
      </w:r>
      <w:r w:rsidR="00E87848">
        <w:t>The cause of transplant failure is often multi-factorial, with chronic immune-mediated injury being a significant contributor</w:t>
      </w:r>
      <w:r w:rsidR="00274579">
        <w:fldChar w:fldCharType="begin">
          <w:fldData xml:space="preserve">PEVuZE5vdGU+PENpdGU+PEF1dGhvcj5Cb2htaWc8L0F1dGhvcj48WWVhcj4yMDE5PC9ZZWFyPjxS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</w:fldData>
        </w:fldChar>
      </w:r>
      <w:r w:rsidR="009372D3">
        <w:instrText xml:space="preserve"> ADDIN EN.CITE </w:instrText>
      </w:r>
      <w:r w:rsidR="009372D3">
        <w:fldChar w:fldCharType="begin">
          <w:fldData xml:space="preserve">PEVuZE5vdGU+PENpdGU+PEF1dGhvcj5Cb2htaWc8L0F1dGhvcj48WWVhcj4yMDE5PC9ZZWFyPjxS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</w:fldData>
        </w:fldChar>
      </w:r>
      <w:r w:rsidR="009372D3">
        <w:instrText xml:space="preserve"> ADDIN EN.CITE.DATA </w:instrText>
      </w:r>
      <w:r w:rsidR="009372D3">
        <w:fldChar w:fldCharType="end"/>
      </w:r>
      <w:r w:rsidR="00274579">
        <w:fldChar w:fldCharType="separate"/>
      </w:r>
      <w:r w:rsidR="009372D3" w:rsidRPr="009372D3">
        <w:rPr>
          <w:noProof/>
          <w:vertAlign w:val="superscript"/>
        </w:rPr>
        <w:t>3-5</w:t>
      </w:r>
      <w:r w:rsidR="00274579">
        <w:fldChar w:fldCharType="end"/>
      </w:r>
      <w:r w:rsidR="00E87848">
        <w:t>.</w:t>
      </w:r>
    </w:p>
    <w:p w14:paraId="28D7124C" w14:textId="2C1EFDDE" w:rsidR="00B41461" w:rsidRPr="00374627" w:rsidRDefault="00A412F6" w:rsidP="006611E8">
      <w:pPr>
        <w:spacing w:line="276" w:lineRule="auto"/>
        <w:jc w:val="both"/>
        <w:rPr>
          <w:color w:val="000000"/>
        </w:rPr>
      </w:pPr>
      <w:r>
        <w:rPr>
          <w:color w:val="000000"/>
        </w:rPr>
        <w:t>Recipient</w:t>
      </w:r>
      <w:r w:rsidR="00B41461" w:rsidRPr="00374627">
        <w:rPr>
          <w:color w:val="000000"/>
        </w:rPr>
        <w:t>s with a failing kidney transplant</w:t>
      </w:r>
      <w:r>
        <w:rPr>
          <w:color w:val="000000"/>
        </w:rPr>
        <w:t xml:space="preserve"> (RFKT)</w:t>
      </w:r>
      <w:r w:rsidR="00B41461" w:rsidRPr="00374627">
        <w:rPr>
          <w:color w:val="000000"/>
        </w:rPr>
        <w:t xml:space="preserve"> </w:t>
      </w:r>
      <w:r w:rsidR="00B41461">
        <w:rPr>
          <w:color w:val="000000"/>
        </w:rPr>
        <w:t xml:space="preserve">are </w:t>
      </w:r>
      <w:r w:rsidR="00B41461" w:rsidRPr="00374627">
        <w:rPr>
          <w:color w:val="000000"/>
        </w:rPr>
        <w:t>complex</w:t>
      </w:r>
      <w:r w:rsidR="006611E8">
        <w:rPr>
          <w:color w:val="000000"/>
        </w:rPr>
        <w:t xml:space="preserve"> and their management presents unique challenges</w:t>
      </w:r>
      <w:r w:rsidR="00C351F0">
        <w:rPr>
          <w:color w:val="000000"/>
        </w:rPr>
        <w:fldChar w:fldCharType="begin">
          <w:fldData xml:space="preserve">PEVuZE5vdGU+PENpdGU+PEF1dGhvcj5EYXZpczwvQXV0aG9yPjxZZWFyPjIwMjE8L1llYXI+PFJl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</w:fldData>
        </w:fldChar>
      </w:r>
      <w:r w:rsidR="009372D3">
        <w:rPr>
          <w:color w:val="000000"/>
        </w:rPr>
        <w:instrText xml:space="preserve"> ADDIN EN.CITE </w:instrText>
      </w:r>
      <w:r w:rsidR="009372D3">
        <w:rPr>
          <w:color w:val="000000"/>
        </w:rPr>
        <w:fldChar w:fldCharType="begin">
          <w:fldData xml:space="preserve">PEVuZE5vdGU+PENpdGU+PEF1dGhvcj5EYXZpczwvQXV0aG9yPjxZZWFyPjIwMjE8L1llYXI+PFJl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</w:fldData>
        </w:fldChar>
      </w:r>
      <w:r w:rsidR="009372D3">
        <w:rPr>
          <w:color w:val="000000"/>
        </w:rPr>
        <w:instrText xml:space="preserve"> ADDIN EN.CITE.DATA </w:instrText>
      </w:r>
      <w:r w:rsidR="009372D3">
        <w:rPr>
          <w:color w:val="000000"/>
        </w:rPr>
      </w:r>
      <w:r w:rsidR="009372D3">
        <w:rPr>
          <w:color w:val="000000"/>
        </w:rPr>
        <w:fldChar w:fldCharType="end"/>
      </w:r>
      <w:r w:rsidR="00C351F0">
        <w:rPr>
          <w:color w:val="000000"/>
        </w:rPr>
      </w:r>
      <w:r w:rsidR="00C351F0">
        <w:rPr>
          <w:color w:val="000000"/>
        </w:rPr>
        <w:fldChar w:fldCharType="separate"/>
      </w:r>
      <w:r w:rsidR="009372D3" w:rsidRPr="009372D3">
        <w:rPr>
          <w:noProof/>
          <w:color w:val="000000"/>
          <w:vertAlign w:val="superscript"/>
        </w:rPr>
        <w:t>6-8</w:t>
      </w:r>
      <w:r w:rsidR="00C351F0">
        <w:rPr>
          <w:color w:val="000000"/>
        </w:rPr>
        <w:fldChar w:fldCharType="end"/>
      </w:r>
      <w:r w:rsidR="00B41461">
        <w:rPr>
          <w:color w:val="000000"/>
        </w:rPr>
        <w:t xml:space="preserve">. </w:t>
      </w:r>
      <w:r w:rsidR="00B41461" w:rsidRPr="00374627">
        <w:rPr>
          <w:color w:val="000000"/>
        </w:rPr>
        <w:t xml:space="preserve"> </w:t>
      </w:r>
      <w:r w:rsidR="006611E8">
        <w:rPr>
          <w:color w:val="000000"/>
        </w:rPr>
        <w:t>E</w:t>
      </w:r>
      <w:r w:rsidR="00B41461">
        <w:rPr>
          <w:color w:val="000000"/>
        </w:rPr>
        <w:t>nsuring optimal outcomes</w:t>
      </w:r>
      <w:r w:rsidR="006611E8">
        <w:rPr>
          <w:color w:val="000000"/>
        </w:rPr>
        <w:t xml:space="preserve"> </w:t>
      </w:r>
      <w:r w:rsidR="00B41461">
        <w:rPr>
          <w:color w:val="000000"/>
        </w:rPr>
        <w:t>may include</w:t>
      </w:r>
      <w:r w:rsidR="00B41461" w:rsidRPr="00374627">
        <w:rPr>
          <w:color w:val="000000"/>
        </w:rPr>
        <w:t xml:space="preserve"> adjustment of immunosuppression</w:t>
      </w:r>
      <w:r w:rsidR="000D603A">
        <w:rPr>
          <w:color w:val="000000"/>
        </w:rPr>
        <w:fldChar w:fldCharType="begin">
          <w:fldData xml:space="preserve">PEVuZE5vdGU+PENpdGU+PEF1dGhvcj5SeXU8L0F1dGhvcj48WWVhcj4yMDIwPC9ZZWFyPjxSZWNO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</w:fldData>
        </w:fldChar>
      </w:r>
      <w:r w:rsidR="009372D3">
        <w:rPr>
          <w:color w:val="000000"/>
        </w:rPr>
        <w:instrText xml:space="preserve"> ADDIN EN.CITE </w:instrText>
      </w:r>
      <w:r w:rsidR="009372D3">
        <w:rPr>
          <w:color w:val="000000"/>
        </w:rPr>
        <w:fldChar w:fldCharType="begin">
          <w:fldData xml:space="preserve">PEVuZE5vdGU+PENpdGU+PEF1dGhvcj5SeXU8L0F1dGhvcj48WWVhcj4yMDIwPC9ZZWFyPjxSZWNO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</w:fldData>
        </w:fldChar>
      </w:r>
      <w:r w:rsidR="009372D3">
        <w:rPr>
          <w:color w:val="000000"/>
        </w:rPr>
        <w:instrText xml:space="preserve"> ADDIN EN.CITE.DATA </w:instrText>
      </w:r>
      <w:r w:rsidR="009372D3">
        <w:rPr>
          <w:color w:val="000000"/>
        </w:rPr>
      </w:r>
      <w:r w:rsidR="009372D3">
        <w:rPr>
          <w:color w:val="000000"/>
        </w:rPr>
        <w:fldChar w:fldCharType="end"/>
      </w:r>
      <w:r w:rsidR="000D603A">
        <w:rPr>
          <w:color w:val="000000"/>
        </w:rPr>
      </w:r>
      <w:r w:rsidR="000D603A">
        <w:rPr>
          <w:color w:val="000000"/>
        </w:rPr>
        <w:fldChar w:fldCharType="separate"/>
      </w:r>
      <w:r w:rsidR="009372D3" w:rsidRPr="009372D3">
        <w:rPr>
          <w:noProof/>
          <w:color w:val="000000"/>
          <w:vertAlign w:val="superscript"/>
        </w:rPr>
        <w:t>9,10</w:t>
      </w:r>
      <w:r w:rsidR="000D603A">
        <w:rPr>
          <w:color w:val="000000"/>
        </w:rPr>
        <w:fldChar w:fldCharType="end"/>
      </w:r>
      <w:r w:rsidR="00B41461" w:rsidRPr="00374627">
        <w:rPr>
          <w:color w:val="000000"/>
        </w:rPr>
        <w:t xml:space="preserve">, </w:t>
      </w:r>
      <w:r w:rsidR="00B41461">
        <w:rPr>
          <w:color w:val="000000"/>
        </w:rPr>
        <w:t>consideration of</w:t>
      </w:r>
      <w:r w:rsidR="00B41461" w:rsidRPr="00374627">
        <w:rPr>
          <w:color w:val="000000"/>
        </w:rPr>
        <w:t xml:space="preserve"> co-morbidities</w:t>
      </w:r>
      <w:r w:rsidR="000D603A">
        <w:rPr>
          <w:color w:val="000000"/>
        </w:rPr>
        <w:fldChar w:fldCharType="begin">
          <w:fldData xml:space="preserve">PEVuZE5vdGU+PENpdGU+PEF1dGhvcj5SYW5nYXN3YW1pPC9BdXRob3I+PFllYXI+MjAxOTwvWWVh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</w:fldData>
        </w:fldChar>
      </w:r>
      <w:r w:rsidR="009372D3">
        <w:rPr>
          <w:color w:val="000000"/>
        </w:rPr>
        <w:instrText xml:space="preserve"> ADDIN EN.CITE </w:instrText>
      </w:r>
      <w:r w:rsidR="009372D3">
        <w:rPr>
          <w:color w:val="000000"/>
        </w:rPr>
        <w:fldChar w:fldCharType="begin">
          <w:fldData xml:space="preserve">PEVuZE5vdGU+PENpdGU+PEF1dGhvcj5SYW5nYXN3YW1pPC9BdXRob3I+PFllYXI+MjAxOTwvWWVh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</w:fldData>
        </w:fldChar>
      </w:r>
      <w:r w:rsidR="009372D3">
        <w:rPr>
          <w:color w:val="000000"/>
        </w:rPr>
        <w:instrText xml:space="preserve"> ADDIN EN.CITE.DATA </w:instrText>
      </w:r>
      <w:r w:rsidR="009372D3">
        <w:rPr>
          <w:color w:val="000000"/>
        </w:rPr>
      </w:r>
      <w:r w:rsidR="009372D3">
        <w:rPr>
          <w:color w:val="000000"/>
        </w:rPr>
        <w:fldChar w:fldCharType="end"/>
      </w:r>
      <w:r w:rsidR="000D603A">
        <w:rPr>
          <w:color w:val="000000"/>
        </w:rPr>
      </w:r>
      <w:r w:rsidR="000D603A">
        <w:rPr>
          <w:color w:val="000000"/>
        </w:rPr>
        <w:fldChar w:fldCharType="separate"/>
      </w:r>
      <w:r w:rsidR="009372D3" w:rsidRPr="009372D3">
        <w:rPr>
          <w:noProof/>
          <w:color w:val="000000"/>
          <w:vertAlign w:val="superscript"/>
        </w:rPr>
        <w:t>11</w:t>
      </w:r>
      <w:r w:rsidR="000D603A">
        <w:rPr>
          <w:color w:val="000000"/>
        </w:rPr>
        <w:fldChar w:fldCharType="end"/>
      </w:r>
      <w:r w:rsidR="00B41461" w:rsidRPr="00374627">
        <w:rPr>
          <w:color w:val="000000"/>
        </w:rPr>
        <w:t>, diagnosis and management of allograft pathology and preparation for dialysis or retransplantation</w:t>
      </w:r>
      <w:r w:rsidR="000D603A">
        <w:rPr>
          <w:color w:val="000000"/>
        </w:rPr>
        <w:fldChar w:fldCharType="begin">
          <w:fldData xml:space="preserve">PEVuZE5vdGU+PENpdGU+PEF1dGhvcj5GaW9yZW50aW5vPC9BdXRob3I+PFllYXI+MjAyMTwvWWVh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</w:fldData>
        </w:fldChar>
      </w:r>
      <w:r w:rsidR="009372D3">
        <w:rPr>
          <w:color w:val="000000"/>
        </w:rPr>
        <w:instrText xml:space="preserve"> ADDIN EN.CITE </w:instrText>
      </w:r>
      <w:r w:rsidR="009372D3">
        <w:rPr>
          <w:color w:val="000000"/>
        </w:rPr>
        <w:fldChar w:fldCharType="begin">
          <w:fldData xml:space="preserve">PEVuZE5vdGU+PENpdGU+PEF1dGhvcj5GaW9yZW50aW5vPC9BdXRob3I+PFllYXI+MjAyMTwvWWVh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</w:fldData>
        </w:fldChar>
      </w:r>
      <w:r w:rsidR="009372D3">
        <w:rPr>
          <w:color w:val="000000"/>
        </w:rPr>
        <w:instrText xml:space="preserve"> ADDIN EN.CITE.DATA </w:instrText>
      </w:r>
      <w:r w:rsidR="009372D3">
        <w:rPr>
          <w:color w:val="000000"/>
        </w:rPr>
      </w:r>
      <w:r w:rsidR="009372D3">
        <w:rPr>
          <w:color w:val="000000"/>
        </w:rPr>
        <w:fldChar w:fldCharType="end"/>
      </w:r>
      <w:r w:rsidR="000D603A">
        <w:rPr>
          <w:color w:val="000000"/>
        </w:rPr>
      </w:r>
      <w:r w:rsidR="000D603A">
        <w:rPr>
          <w:color w:val="000000"/>
        </w:rPr>
        <w:fldChar w:fldCharType="separate"/>
      </w:r>
      <w:r w:rsidR="009372D3" w:rsidRPr="009372D3">
        <w:rPr>
          <w:noProof/>
          <w:color w:val="000000"/>
          <w:vertAlign w:val="superscript"/>
        </w:rPr>
        <w:t>12,13</w:t>
      </w:r>
      <w:r w:rsidR="000D603A">
        <w:rPr>
          <w:color w:val="000000"/>
        </w:rPr>
        <w:fldChar w:fldCharType="end"/>
      </w:r>
      <w:r w:rsidR="00B41461" w:rsidRPr="00374627">
        <w:rPr>
          <w:color w:val="000000"/>
        </w:rPr>
        <w:t xml:space="preserve">. </w:t>
      </w:r>
      <w:r w:rsidR="006611E8">
        <w:rPr>
          <w:color w:val="000000"/>
        </w:rPr>
        <w:t>I</w:t>
      </w:r>
      <w:r w:rsidR="00A54327">
        <w:rPr>
          <w:color w:val="000000"/>
        </w:rPr>
        <w:t xml:space="preserve">t is well-recognised that there is significant morbidity and mortality associated with the time around return to dialysis, </w:t>
      </w:r>
      <w:r w:rsidR="006611E8">
        <w:rPr>
          <w:color w:val="000000"/>
        </w:rPr>
        <w:t>particularly in relation to cardiovascular disease and infection</w:t>
      </w:r>
      <w:r w:rsidR="000D603A">
        <w:rPr>
          <w:color w:val="000000"/>
        </w:rPr>
        <w:fldChar w:fldCharType="begin">
          <w:fldData xml:space="preserve">PEVuZE5vdGU+PENpdGU+PEF1dGhvcj5QZXJsPC9BdXRob3I+PFllYXI+MjAxMjwvWWVhcj48UmVj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</w:fldData>
        </w:fldChar>
      </w:r>
      <w:r w:rsidR="009372D3">
        <w:rPr>
          <w:color w:val="000000"/>
        </w:rPr>
        <w:instrText xml:space="preserve"> ADDIN EN.CITE </w:instrText>
      </w:r>
      <w:r w:rsidR="009372D3">
        <w:rPr>
          <w:color w:val="000000"/>
        </w:rPr>
        <w:fldChar w:fldCharType="begin">
          <w:fldData xml:space="preserve">PEVuZE5vdGU+PENpdGU+PEF1dGhvcj5QZXJsPC9BdXRob3I+PFllYXI+MjAxMjwvWWVhcj48UmVj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</w:fldData>
        </w:fldChar>
      </w:r>
      <w:r w:rsidR="009372D3">
        <w:rPr>
          <w:color w:val="000000"/>
        </w:rPr>
        <w:instrText xml:space="preserve"> ADDIN EN.CITE.DATA </w:instrText>
      </w:r>
      <w:r w:rsidR="009372D3">
        <w:rPr>
          <w:color w:val="000000"/>
        </w:rPr>
      </w:r>
      <w:r w:rsidR="009372D3">
        <w:rPr>
          <w:color w:val="000000"/>
        </w:rPr>
        <w:fldChar w:fldCharType="end"/>
      </w:r>
      <w:r w:rsidR="000D603A">
        <w:rPr>
          <w:color w:val="000000"/>
        </w:rPr>
      </w:r>
      <w:r w:rsidR="000D603A">
        <w:rPr>
          <w:color w:val="000000"/>
        </w:rPr>
        <w:fldChar w:fldCharType="separate"/>
      </w:r>
      <w:r w:rsidR="009372D3" w:rsidRPr="009372D3">
        <w:rPr>
          <w:noProof/>
          <w:color w:val="000000"/>
          <w:vertAlign w:val="superscript"/>
        </w:rPr>
        <w:t>14-18</w:t>
      </w:r>
      <w:r w:rsidR="000D603A">
        <w:rPr>
          <w:color w:val="000000"/>
        </w:rPr>
        <w:fldChar w:fldCharType="end"/>
      </w:r>
      <w:r w:rsidR="006611E8">
        <w:rPr>
          <w:color w:val="000000"/>
        </w:rPr>
        <w:t xml:space="preserve">. However, </w:t>
      </w:r>
      <w:r w:rsidR="00A54327">
        <w:rPr>
          <w:color w:val="000000"/>
        </w:rPr>
        <w:t>t</w:t>
      </w:r>
      <w:r w:rsidR="00B41461" w:rsidRPr="00374627">
        <w:rPr>
          <w:color w:val="000000"/>
        </w:rPr>
        <w:t>he evidence</w:t>
      </w:r>
      <w:r w:rsidR="006611E8">
        <w:rPr>
          <w:color w:val="000000"/>
        </w:rPr>
        <w:t xml:space="preserve"> to guide practice</w:t>
      </w:r>
      <w:r w:rsidR="00B41461" w:rsidRPr="00374627">
        <w:rPr>
          <w:color w:val="000000"/>
        </w:rPr>
        <w:t xml:space="preserve"> is limited and recommendations are usually based on personal experiences and available literature. </w:t>
      </w:r>
    </w:p>
    <w:p w14:paraId="5DE5C8A5" w14:textId="74A8235E" w:rsidR="00B41461" w:rsidRDefault="005652A4" w:rsidP="006611E8">
      <w:pPr>
        <w:spacing w:line="276" w:lineRule="auto"/>
        <w:jc w:val="both"/>
      </w:pPr>
      <w:r>
        <w:t>Many of the physiological changes that accompany the loss of graft function mimic those seen in progressive renal disease in the native kidneys. Most of these can be managed in a similar way to the non-transplant population and previous guidelines have made recommendations to this effect</w:t>
      </w:r>
      <w:r w:rsidR="00C351F0">
        <w:fldChar w:fldCharType="begin"/>
      </w:r>
      <w:r w:rsidR="009372D3">
        <w:instrText xml:space="preserve"> ADDIN EN.CITE &lt;EndNote&gt;&lt;Cite&gt;&lt;Author&gt;Baker&lt;/Author&gt;&lt;Year&gt;2017&lt;/Year&gt;&lt;RecNum&gt;1116&lt;/RecNum&gt;&lt;DisplayText&gt;&lt;style face="superscript"&gt;19,20&lt;/style&gt;&lt;/DisplayText&gt;&lt;record&gt;&lt;rec-number&gt;1116&lt;/rec-number&gt;&lt;foreign-keys&gt;&lt;key app="EN" db-id="2erfxtrp4es29re0e0qv5x5tpxp2s0xderet" timestamp="1675178287"&gt;1116&lt;/key&gt;&lt;key app="ENWeb" db-id=""&gt;0&lt;/key&gt;&lt;/foreign-keys&gt;&lt;ref-type name="Journal Article"&gt;17&lt;/ref-type&gt;&lt;contributors&gt;&lt;authors&gt;&lt;author&gt;Baker, R.J; Mark, P.B; Patel. R.K.; Stevens, K.K.; Palmer, N.&lt;/author&gt;&lt;/authors&gt;&lt;/contributors&gt;&lt;titles&gt;&lt;title&gt;&amp;lt;Post-operative care in the kidney transplant recipient.pdf&amp;gt;&lt;/title&gt;&lt;secondary-title&gt;British Transplantation Society Clinical Practice Guideline&lt;/secondary-title&gt;&lt;/titles&gt;&lt;periodical&gt;&lt;full-title&gt;British Transplantation Society Clinical Practice Guideline&lt;/full-title&gt;&lt;/periodical&gt;&lt;dates&gt;&lt;year&gt;2017&lt;/year&gt;&lt;/dates&gt;&lt;urls&gt;&lt;/urls&gt;&lt;/record&gt;&lt;/Cite&gt;&lt;Cite&gt;&lt;Year&gt;2009&lt;/Year&gt;&lt;RecNum&gt;1&lt;/RecNum&gt;&lt;record&gt;&lt;rec-number&gt;1&lt;/rec-number&gt;&lt;foreign-keys&gt;&lt;key app="EN" db-id="2erfxtrp4es29re0e0qv5x5tpxp2s0xderet" timestamp="1462551364"&gt;1&lt;/key&gt;&lt;/foreign-keys&gt;&lt;ref-type name="Journal Article"&gt;17&lt;/ref-type&gt;&lt;contributors&gt;&lt;/contributors&gt;&lt;titles&gt;&lt;title&gt;Kidney Disease: Improving Global Outcomes (KDIGO) Transplant Work Group. KDIGO clinical practice guideline for the care of kidney trannsplant recipients.&lt;/title&gt;&lt;secondary-title&gt;American Journal of Transplantation&lt;/secondary-title&gt;&lt;/titles&gt;&lt;periodical&gt;&lt;full-title&gt;American Journal of Transplantation&lt;/full-title&gt;&lt;/periodical&gt;&lt;pages&gt;157&lt;/pages&gt;&lt;volume&gt;9&lt;/volume&gt;&lt;number&gt;S3&lt;/number&gt;&lt;section&gt;S1&lt;/section&gt;&lt;dates&gt;&lt;year&gt;2009&lt;/year&gt;&lt;/dates&gt;&lt;work-type&gt;Clinical guideline&lt;/work-type&gt;&lt;urls&gt;&lt;/urls&gt;&lt;/record&gt;&lt;/Cite&gt;&lt;/EndNote&gt;</w:instrText>
      </w:r>
      <w:r w:rsidR="00C351F0">
        <w:fldChar w:fldCharType="separate"/>
      </w:r>
      <w:r w:rsidR="009372D3" w:rsidRPr="009372D3">
        <w:rPr>
          <w:noProof/>
          <w:vertAlign w:val="superscript"/>
        </w:rPr>
        <w:t>19,20</w:t>
      </w:r>
      <w:r w:rsidR="00C351F0">
        <w:fldChar w:fldCharType="end"/>
      </w:r>
      <w:r>
        <w:t>. However, t</w:t>
      </w:r>
      <w:r w:rsidR="00B41461">
        <w:t xml:space="preserve">here is evidence that </w:t>
      </w:r>
      <w:r w:rsidR="00E87848">
        <w:t>kidney transplant recipients</w:t>
      </w:r>
      <w:r w:rsidR="00B41461">
        <w:t xml:space="preserve"> with poor graft function receive suboptimal care when compared to patients with </w:t>
      </w:r>
      <w:r w:rsidR="00E87848">
        <w:t xml:space="preserve">progressive </w:t>
      </w:r>
      <w:r w:rsidR="00B41461">
        <w:t>native kidney disease</w:t>
      </w:r>
      <w:r w:rsidR="000D603A">
        <w:fldChar w:fldCharType="begin"/>
      </w:r>
      <w:r w:rsidR="00274579">
        <w:instrText xml:space="preserve"> ADDIN EN.CITE &lt;EndNote&gt;&lt;Cite&gt;&lt;RecNum&gt;1111&lt;/RecNum&gt;&lt;DisplayText&gt;&lt;style face="superscript"&gt;2&lt;/style&gt;&lt;/DisplayText&gt;&lt;record&gt;&lt;rec-number&gt;1111&lt;/rec-number&gt;&lt;foreign-keys&gt;&lt;key app="EN" db-id="2erfxtrp4es29re0e0qv5x5tpxp2s0xderet" timestamp="1675016141"&gt;1111&lt;/key&gt;&lt;key app="ENWeb" db-id=""&gt;0&lt;/key&gt;&lt;/foreign-keys&gt;&lt;ref-type name="Report"&gt;27&lt;/ref-type&gt;&lt;contributors&gt;&lt;/contributors&gt;&lt;titles&gt;&lt;title&gt;UK Renal Registry 24th Annual Report&lt;/title&gt;&lt;/titles&gt;&lt;dates&gt;&lt;/dates&gt;&lt;urls&gt;&lt;/urls&gt;&lt;/record&gt;&lt;/Cite&gt;&lt;/EndNote&gt;</w:instrText>
      </w:r>
      <w:r w:rsidR="000D603A">
        <w:fldChar w:fldCharType="separate"/>
      </w:r>
      <w:r w:rsidR="00274579" w:rsidRPr="00274579">
        <w:rPr>
          <w:noProof/>
          <w:vertAlign w:val="superscript"/>
        </w:rPr>
        <w:t>2</w:t>
      </w:r>
      <w:r w:rsidR="000D603A">
        <w:fldChar w:fldCharType="end"/>
      </w:r>
      <w:r w:rsidR="00B41461">
        <w:t xml:space="preserve">. </w:t>
      </w:r>
    </w:p>
    <w:p w14:paraId="2C09FC18" w14:textId="46DD8A1A" w:rsidR="00B41461" w:rsidRDefault="00B41461" w:rsidP="006611E8">
      <w:pPr>
        <w:spacing w:line="276" w:lineRule="auto"/>
        <w:jc w:val="both"/>
      </w:pPr>
      <w:r>
        <w:t>As a result of these observations</w:t>
      </w:r>
      <w:r w:rsidR="00280BC8">
        <w:t>,</w:t>
      </w:r>
      <w:r>
        <w:t xml:space="preserve"> several centres in the UK have established dedicated clinics for transplant patients with declining </w:t>
      </w:r>
      <w:r w:rsidR="00280BC8">
        <w:t xml:space="preserve">kidney </w:t>
      </w:r>
      <w:r>
        <w:t>function</w:t>
      </w:r>
      <w:r w:rsidR="000D603A">
        <w:fldChar w:fldCharType="begin">
          <w:fldData xml:space="preserve">PEVuZE5vdGU+PENpdGU+PEF1dGhvcj5FdmFuczwvQXV0aG9yPjxZZWFyPjIwMTg8L1llYXI+PFJl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</w:fldData>
        </w:fldChar>
      </w:r>
      <w:r w:rsidR="009372D3">
        <w:instrText xml:space="preserve"> ADDIN EN.CITE </w:instrText>
      </w:r>
      <w:r w:rsidR="009372D3">
        <w:fldChar w:fldCharType="begin">
          <w:fldData xml:space="preserve">PEVuZE5vdGU+PENpdGU+PEF1dGhvcj5FdmFuczwvQXV0aG9yPjxZZWFyPjIwMTg8L1llYXI+PFJl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</w:fldData>
        </w:fldChar>
      </w:r>
      <w:r w:rsidR="009372D3">
        <w:instrText xml:space="preserve"> ADDIN EN.CITE.DATA </w:instrText>
      </w:r>
      <w:r w:rsidR="009372D3">
        <w:fldChar w:fldCharType="end"/>
      </w:r>
      <w:r w:rsidR="000D603A">
        <w:fldChar w:fldCharType="separate"/>
      </w:r>
      <w:r w:rsidR="009372D3" w:rsidRPr="009372D3">
        <w:rPr>
          <w:noProof/>
          <w:vertAlign w:val="superscript"/>
        </w:rPr>
        <w:t>21,22</w:t>
      </w:r>
      <w:r w:rsidR="000D603A">
        <w:fldChar w:fldCharType="end"/>
      </w:r>
      <w:r>
        <w:t>.  Other units manage failing transplants in advanced kidney care clinics, or in standard transplant clinics with additional input from multidisciplinary teams as required</w:t>
      </w:r>
      <w:r w:rsidR="000D603A">
        <w:fldChar w:fldCharType="begin"/>
      </w:r>
      <w:r w:rsidR="009372D3">
        <w:instrText xml:space="preserve"> ADDIN EN.CITE &lt;EndNote&gt;&lt;Cite&gt;&lt;Author&gt;Gittus&lt;/Author&gt;&lt;Year&gt;2023&lt;/Year&gt;&lt;RecNum&gt;1079&lt;/RecNum&gt;&lt;DisplayText&gt;&lt;style face="superscript"&gt;23&lt;/style&gt;&lt;/DisplayText&gt;&lt;record&gt;&lt;rec-number&gt;1079&lt;/rec-number&gt;&lt;foreign-keys&gt;&lt;key app="EN" db-id="2erfxtrp4es29re0e0qv5x5tpxp2s0xderet" timestamp="1674557379"&gt;1079&lt;/key&gt;&lt;/foreign-keys&gt;&lt;ref-type name="Conference Paper"&gt;47&lt;/ref-type&gt;&lt;contributors&gt;&lt;authors&gt;&lt;author&gt;Gittus, M.&lt;/author&gt;&lt;author&gt;Bailey, P.&lt;/author&gt;&lt;author&gt;Griffin, S.V.&lt;/author&gt;&lt;/authors&gt;&lt;/contributors&gt;&lt;titles&gt;&lt;title&gt;Management of patients with a failing kidney transplant: a survey of UK-based renal units&lt;/title&gt;&lt;secondary-title&gt;British Transplantation Society Annual Meeting&lt;/secondary-title&gt;&lt;/titles&gt;&lt;dates&gt;&lt;year&gt;2023&lt;/year&gt;&lt;/dates&gt;&lt;urls&gt;&lt;/urls&gt;&lt;/record&gt;&lt;/Cite&gt;&lt;/EndNote&gt;</w:instrText>
      </w:r>
      <w:r w:rsidR="000D603A">
        <w:fldChar w:fldCharType="separate"/>
      </w:r>
      <w:r w:rsidR="009372D3" w:rsidRPr="009372D3">
        <w:rPr>
          <w:noProof/>
          <w:vertAlign w:val="superscript"/>
        </w:rPr>
        <w:t>23</w:t>
      </w:r>
      <w:r w:rsidR="000D603A">
        <w:fldChar w:fldCharType="end"/>
      </w:r>
      <w:r>
        <w:t xml:space="preserve">. </w:t>
      </w:r>
    </w:p>
    <w:p w14:paraId="1618DE7E" w14:textId="0E5EFDE5" w:rsidR="00B41461" w:rsidRDefault="00B41461" w:rsidP="006611E8">
      <w:pPr>
        <w:spacing w:line="276" w:lineRule="auto"/>
        <w:jc w:val="both"/>
      </w:pPr>
      <w:r>
        <w:t xml:space="preserve">The original guideline </w:t>
      </w:r>
      <w:r w:rsidR="00280BC8">
        <w:t xml:space="preserve">on the ‘Management of the patient with a failing kidney transplant’ </w:t>
      </w:r>
      <w:r>
        <w:t xml:space="preserve">was published in 2014. This revision aims to consider the emergence of recent evidence, an expansion of some aspects of care and </w:t>
      </w:r>
      <w:r w:rsidR="00280BC8">
        <w:t xml:space="preserve">the </w:t>
      </w:r>
      <w:r>
        <w:t xml:space="preserve">inclusion of new chapters, with specific relevance to kidney transplant recipients with poor graft function.  </w:t>
      </w:r>
      <w:r w:rsidR="000322A8">
        <w:t xml:space="preserve">We have added chapters addressing paediatric recipients, psychosocial considerations and the management of the complications of </w:t>
      </w:r>
      <w:r w:rsidR="002B30F9">
        <w:t xml:space="preserve">chronic kidney </w:t>
      </w:r>
      <w:proofErr w:type="gramStart"/>
      <w:r w:rsidR="002B30F9">
        <w:t xml:space="preserve">disease </w:t>
      </w:r>
      <w:r w:rsidR="000322A8">
        <w:t xml:space="preserve"> (</w:t>
      </w:r>
      <w:proofErr w:type="gramEnd"/>
      <w:r w:rsidR="000322A8">
        <w:t xml:space="preserve">CKD) in the context of a failing transplant. </w:t>
      </w:r>
      <w:r w:rsidR="000F168E">
        <w:t>The previous chapter</w:t>
      </w:r>
      <w:r w:rsidR="00280BC8">
        <w:t>s</w:t>
      </w:r>
      <w:r w:rsidR="000F168E">
        <w:t xml:space="preserve"> focus</w:t>
      </w:r>
      <w:r w:rsidR="00280BC8">
        <w:t>ed</w:t>
      </w:r>
      <w:r w:rsidR="000F168E">
        <w:t xml:space="preserve"> on cardiovascular and other risk factors </w:t>
      </w:r>
      <w:r w:rsidR="00280BC8">
        <w:t>have</w:t>
      </w:r>
      <w:r w:rsidR="000F168E">
        <w:t xml:space="preserve"> been broadened, with </w:t>
      </w:r>
      <w:r w:rsidR="00F546C1">
        <w:t xml:space="preserve">specific </w:t>
      </w:r>
      <w:r w:rsidR="000F168E">
        <w:t xml:space="preserve">lifestyle recommendations included </w:t>
      </w:r>
      <w:r w:rsidR="00F546C1">
        <w:t>separately</w:t>
      </w:r>
      <w:r w:rsidR="000F168E">
        <w:t>.</w:t>
      </w:r>
    </w:p>
    <w:p w14:paraId="45BE4EEC" w14:textId="77777777" w:rsidR="00427890" w:rsidRDefault="00427890" w:rsidP="00427890">
      <w:pPr>
        <w:pStyle w:val="Heading2"/>
        <w:spacing w:before="0" w:after="160" w:line="276" w:lineRule="auto"/>
      </w:pPr>
      <w:bookmarkStart w:id="2" w:name="_Toc128329911"/>
      <w:r>
        <w:t>References</w:t>
      </w:r>
      <w:bookmarkEnd w:id="2"/>
    </w:p>
    <w:p w14:paraId="027A2231" w14:textId="766522F2" w:rsidR="001D0C51" w:rsidRPr="001D0C51" w:rsidRDefault="00427890" w:rsidP="00D23A98">
      <w:pPr>
        <w:pStyle w:val="EndNoteBibliography"/>
        <w:spacing w:after="0" w:line="276" w:lineRule="auto"/>
        <w:ind w:left="720" w:hanging="720"/>
      </w:pPr>
      <w:r>
        <w:rPr>
          <w:color w:val="FF0000"/>
        </w:rPr>
        <w:fldChar w:fldCharType="begin"/>
      </w:r>
      <w:r>
        <w:rPr>
          <w:color w:val="FF0000"/>
        </w:rPr>
        <w:instrText xml:space="preserve"> ADDIN EN.REFLIST </w:instrText>
      </w:r>
      <w:r>
        <w:rPr>
          <w:color w:val="FF0000"/>
        </w:rPr>
        <w:fldChar w:fldCharType="separate"/>
      </w:r>
      <w:r w:rsidR="001D0C51" w:rsidRPr="001D0C51">
        <w:t>1</w:t>
      </w:r>
      <w:r w:rsidR="000E2934">
        <w:t>.</w:t>
      </w:r>
      <w:r w:rsidR="001D0C51" w:rsidRPr="001D0C51">
        <w:tab/>
        <w:t>Organ and Tissue Donation and Transplantation Activity Report 2021/22.</w:t>
      </w:r>
    </w:p>
    <w:p w14:paraId="63E0DEE8" w14:textId="20FAA7C9" w:rsidR="001D0C51" w:rsidRPr="001D0C51" w:rsidRDefault="001D0C51" w:rsidP="00D23A98">
      <w:pPr>
        <w:pStyle w:val="EndNoteBibliography"/>
        <w:spacing w:after="0" w:line="276" w:lineRule="auto"/>
        <w:ind w:left="720" w:hanging="720"/>
      </w:pPr>
      <w:r w:rsidRPr="001D0C51">
        <w:lastRenderedPageBreak/>
        <w:t>2</w:t>
      </w:r>
      <w:r w:rsidR="000E2934">
        <w:t>.</w:t>
      </w:r>
      <w:r w:rsidRPr="001D0C51">
        <w:tab/>
        <w:t>UK Renal Registry 24th Annual Report.</w:t>
      </w:r>
    </w:p>
    <w:p w14:paraId="72568A5A" w14:textId="4B0385E3" w:rsidR="001D0C51" w:rsidRPr="001D0C51" w:rsidRDefault="001D0C51" w:rsidP="00D23A98">
      <w:pPr>
        <w:pStyle w:val="EndNoteBibliography"/>
        <w:spacing w:after="0" w:line="276" w:lineRule="auto"/>
        <w:ind w:left="720" w:hanging="720"/>
      </w:pPr>
      <w:r w:rsidRPr="001D0C51">
        <w:t>3</w:t>
      </w:r>
      <w:r w:rsidR="000E2934">
        <w:t>.</w:t>
      </w:r>
      <w:r w:rsidRPr="001D0C51">
        <w:tab/>
        <w:t xml:space="preserve">Bohmig, G. A., Eskandary, F., Doberer, K. &amp; Halloran, P. F. The therapeutic challenge of late antibody-mediated kidney allograft rejection. </w:t>
      </w:r>
      <w:r w:rsidRPr="001D0C51">
        <w:rPr>
          <w:i/>
        </w:rPr>
        <w:t>Transpl Int</w:t>
      </w:r>
      <w:r w:rsidRPr="001D0C51">
        <w:t xml:space="preserve"> </w:t>
      </w:r>
      <w:r w:rsidRPr="001D0C51">
        <w:rPr>
          <w:b/>
        </w:rPr>
        <w:t>32</w:t>
      </w:r>
      <w:r w:rsidRPr="001D0C51">
        <w:t>, 775-788, doi:10.1111/tri.13436 (2019).</w:t>
      </w:r>
    </w:p>
    <w:p w14:paraId="1A1EF71E" w14:textId="61343453" w:rsidR="001D0C51" w:rsidRPr="001D0C51" w:rsidRDefault="001D0C51" w:rsidP="00217066">
      <w:pPr>
        <w:pStyle w:val="EndNoteBibliography"/>
        <w:spacing w:after="0" w:line="276" w:lineRule="auto"/>
        <w:ind w:left="720" w:hanging="720"/>
      </w:pPr>
      <w:r w:rsidRPr="001D0C51">
        <w:t>4</w:t>
      </w:r>
      <w:r w:rsidR="000E2934">
        <w:t>.</w:t>
      </w:r>
      <w:r w:rsidRPr="001D0C51">
        <w:tab/>
        <w:t>Sellares, J.</w:t>
      </w:r>
      <w:r w:rsidRPr="001D0C51">
        <w:rPr>
          <w:i/>
        </w:rPr>
        <w:t xml:space="preserve"> et al.</w:t>
      </w:r>
      <w:r w:rsidRPr="001D0C51">
        <w:t xml:space="preserve"> Understanding the causes of kidney transplant failure: the dominant role of antibody-mediated rejection and nonadherence. </w:t>
      </w:r>
      <w:r w:rsidRPr="001D0C51">
        <w:rPr>
          <w:i/>
        </w:rPr>
        <w:t>Am J Transplant</w:t>
      </w:r>
      <w:r w:rsidRPr="001D0C51">
        <w:t xml:space="preserve"> </w:t>
      </w:r>
      <w:r w:rsidRPr="001D0C51">
        <w:rPr>
          <w:b/>
        </w:rPr>
        <w:t>12</w:t>
      </w:r>
      <w:r w:rsidRPr="001D0C51">
        <w:t>, 388-399, doi:10.1111/j.1600-6143.2011.03840.x (2012).</w:t>
      </w:r>
    </w:p>
    <w:p w14:paraId="2911DAC7" w14:textId="2AC82C58" w:rsidR="001D0C51" w:rsidRPr="001D0C51" w:rsidRDefault="001D0C51" w:rsidP="00D23A98">
      <w:pPr>
        <w:pStyle w:val="EndNoteBibliography"/>
        <w:spacing w:after="0" w:line="276" w:lineRule="auto"/>
        <w:ind w:left="720" w:hanging="720"/>
      </w:pPr>
      <w:r w:rsidRPr="001D0C51">
        <w:t>5</w:t>
      </w:r>
      <w:r w:rsidR="000E2934">
        <w:t>.</w:t>
      </w:r>
      <w:r w:rsidRPr="001D0C51">
        <w:tab/>
        <w:t xml:space="preserve">Halloran, P. F., Famulski, K. S. &amp; Reeve, J. Molecular assessment of disease states in kidney transplant biopsy samples. </w:t>
      </w:r>
      <w:r w:rsidRPr="001D0C51">
        <w:rPr>
          <w:i/>
        </w:rPr>
        <w:t>Nat Rev Nephrol</w:t>
      </w:r>
      <w:r w:rsidRPr="001D0C51">
        <w:t xml:space="preserve"> </w:t>
      </w:r>
      <w:r w:rsidRPr="001D0C51">
        <w:rPr>
          <w:b/>
        </w:rPr>
        <w:t>12</w:t>
      </w:r>
      <w:r w:rsidRPr="001D0C51">
        <w:t>, 534-548, doi:10.1038/nrneph.2016.85 (2016).</w:t>
      </w:r>
    </w:p>
    <w:p w14:paraId="4025A482" w14:textId="5C59FDCA" w:rsidR="001D0C51" w:rsidRPr="001D0C51" w:rsidRDefault="001D0C51" w:rsidP="00D23A98">
      <w:pPr>
        <w:pStyle w:val="EndNoteBibliography"/>
        <w:spacing w:after="0" w:line="276" w:lineRule="auto"/>
        <w:ind w:left="720" w:hanging="720"/>
      </w:pPr>
      <w:r w:rsidRPr="001D0C51">
        <w:t>6</w:t>
      </w:r>
      <w:r w:rsidR="000E2934">
        <w:t>.</w:t>
      </w:r>
      <w:r w:rsidRPr="001D0C51">
        <w:tab/>
        <w:t xml:space="preserve">Davis, S. &amp; Mohan, S. Managing Patients with Failing Kidney Allograft: Many Questions Remain. </w:t>
      </w:r>
      <w:r w:rsidRPr="001D0C51">
        <w:rPr>
          <w:i/>
        </w:rPr>
        <w:t>Clin J Am Soc Nephrol</w:t>
      </w:r>
      <w:r w:rsidRPr="001D0C51">
        <w:t xml:space="preserve"> </w:t>
      </w:r>
      <w:r w:rsidRPr="001D0C51">
        <w:rPr>
          <w:b/>
        </w:rPr>
        <w:t>17</w:t>
      </w:r>
      <w:r w:rsidRPr="001D0C51">
        <w:t>, 8, doi:10.2215/CJN.14620920 (2021).</w:t>
      </w:r>
    </w:p>
    <w:p w14:paraId="2C6FE3F0" w14:textId="036A15B7" w:rsidR="001D0C51" w:rsidRPr="001D0C51" w:rsidRDefault="001D0C51" w:rsidP="00D23A98">
      <w:pPr>
        <w:pStyle w:val="EndNoteBibliography"/>
        <w:spacing w:after="0" w:line="276" w:lineRule="auto"/>
        <w:ind w:left="720" w:hanging="720"/>
      </w:pPr>
      <w:r w:rsidRPr="001D0C51">
        <w:t>7</w:t>
      </w:r>
      <w:r w:rsidR="000E2934">
        <w:t>.</w:t>
      </w:r>
      <w:r w:rsidRPr="001D0C51">
        <w:tab/>
        <w:t>Lubetzky, M.</w:t>
      </w:r>
      <w:r w:rsidRPr="001D0C51">
        <w:rPr>
          <w:i/>
        </w:rPr>
        <w:t xml:space="preserve"> et al.</w:t>
      </w:r>
      <w:r w:rsidRPr="001D0C51">
        <w:t xml:space="preserve"> The failing kidney allograft: A review and recommendations for the care and management of a complex group of patients. </w:t>
      </w:r>
      <w:r w:rsidRPr="001D0C51">
        <w:rPr>
          <w:i/>
        </w:rPr>
        <w:t>Am J Transplant</w:t>
      </w:r>
      <w:r w:rsidRPr="001D0C51">
        <w:t xml:space="preserve"> </w:t>
      </w:r>
      <w:r w:rsidRPr="001D0C51">
        <w:rPr>
          <w:b/>
        </w:rPr>
        <w:t>21</w:t>
      </w:r>
      <w:r w:rsidRPr="001D0C51">
        <w:t>, 2937-2949, doi:10.1111/ajt.16717 (2021).</w:t>
      </w:r>
    </w:p>
    <w:p w14:paraId="14B637EF" w14:textId="17CFAD1A" w:rsidR="001D0C51" w:rsidRPr="001D0C51" w:rsidRDefault="001D0C51" w:rsidP="00D23A98">
      <w:pPr>
        <w:pStyle w:val="EndNoteBibliography"/>
        <w:spacing w:after="0" w:line="276" w:lineRule="auto"/>
        <w:ind w:left="720" w:hanging="720"/>
      </w:pPr>
      <w:r w:rsidRPr="001D0C51">
        <w:t>8</w:t>
      </w:r>
      <w:r w:rsidR="000E2934">
        <w:t>.</w:t>
      </w:r>
      <w:r w:rsidRPr="001D0C51">
        <w:tab/>
      </w:r>
      <w:r w:rsidRPr="001D0C51">
        <w:rPr>
          <w:i/>
        </w:rPr>
        <w:t>Kidney Disease: Improving Global Outcomes (KDIGO). Controversies Conference on Challenges in Management of the Kidney Allograft: From Decline to Failure. March 2022.</w:t>
      </w:r>
      <w:r w:rsidRPr="001D0C51">
        <w:t>, 2022).</w:t>
      </w:r>
    </w:p>
    <w:p w14:paraId="4FDEABDC" w14:textId="15308AF3" w:rsidR="001D0C51" w:rsidRPr="001D0C51" w:rsidRDefault="001D0C51" w:rsidP="00D23A98">
      <w:pPr>
        <w:pStyle w:val="EndNoteBibliography"/>
        <w:spacing w:after="0" w:line="276" w:lineRule="auto"/>
        <w:ind w:left="720" w:hanging="720"/>
      </w:pPr>
      <w:r w:rsidRPr="001D0C51">
        <w:t>9</w:t>
      </w:r>
      <w:r w:rsidR="000E2934">
        <w:t>.</w:t>
      </w:r>
      <w:r w:rsidRPr="001D0C51">
        <w:tab/>
        <w:t>Ryu, H.</w:t>
      </w:r>
      <w:r w:rsidRPr="001D0C51">
        <w:rPr>
          <w:i/>
        </w:rPr>
        <w:t xml:space="preserve"> et al.</w:t>
      </w:r>
      <w:r w:rsidRPr="001D0C51">
        <w:t xml:space="preserve"> Weaning Immunosuppressant in Patients with Failing Kidney Grafts and The Outcomes: A Single-Center Retrospective Cohort Study. </w:t>
      </w:r>
      <w:r w:rsidRPr="001D0C51">
        <w:rPr>
          <w:i/>
        </w:rPr>
        <w:t>Sci Rep</w:t>
      </w:r>
      <w:r w:rsidRPr="001D0C51">
        <w:t xml:space="preserve"> </w:t>
      </w:r>
      <w:r w:rsidRPr="001D0C51">
        <w:rPr>
          <w:b/>
        </w:rPr>
        <w:t>10</w:t>
      </w:r>
      <w:r w:rsidRPr="001D0C51">
        <w:t>, 6425, doi:10.1038/s41598-020-63266-3 (2020).</w:t>
      </w:r>
    </w:p>
    <w:p w14:paraId="6174B483" w14:textId="024F5137" w:rsidR="001D0C51" w:rsidRPr="001D0C51" w:rsidRDefault="001D0C51" w:rsidP="00D23A98">
      <w:pPr>
        <w:pStyle w:val="EndNoteBibliography"/>
        <w:spacing w:after="0" w:line="276" w:lineRule="auto"/>
        <w:ind w:left="720" w:hanging="720"/>
      </w:pPr>
      <w:r w:rsidRPr="001D0C51">
        <w:t>10</w:t>
      </w:r>
      <w:r w:rsidR="000E2934">
        <w:t>.</w:t>
      </w:r>
      <w:r w:rsidRPr="001D0C51">
        <w:tab/>
        <w:t>Knoll, G.</w:t>
      </w:r>
      <w:r w:rsidRPr="001D0C51">
        <w:rPr>
          <w:i/>
        </w:rPr>
        <w:t xml:space="preserve"> et al.</w:t>
      </w:r>
      <w:r w:rsidRPr="001D0C51">
        <w:t xml:space="preserve"> Immunosuppressant Medication Use in Patients with Kidney Allograft Failure: A Prospective Multicenter Canadian Cohort Study. </w:t>
      </w:r>
      <w:r w:rsidRPr="001D0C51">
        <w:rPr>
          <w:i/>
        </w:rPr>
        <w:t>J Am Soc Nephrol</w:t>
      </w:r>
      <w:r w:rsidRPr="001D0C51">
        <w:t xml:space="preserve"> </w:t>
      </w:r>
      <w:r w:rsidRPr="001D0C51">
        <w:rPr>
          <w:b/>
        </w:rPr>
        <w:t>33</w:t>
      </w:r>
      <w:r w:rsidRPr="001D0C51">
        <w:t>, 1182-1192, doi:10.1681/ASN.2021121642 (2022).</w:t>
      </w:r>
    </w:p>
    <w:p w14:paraId="7CDB42C1" w14:textId="37EB62A7" w:rsidR="001D0C51" w:rsidRPr="001D0C51" w:rsidRDefault="001D0C51" w:rsidP="00D23A98">
      <w:pPr>
        <w:pStyle w:val="EndNoteBibliography"/>
        <w:spacing w:after="0" w:line="276" w:lineRule="auto"/>
        <w:ind w:left="720" w:hanging="720"/>
      </w:pPr>
      <w:r w:rsidRPr="001D0C51">
        <w:t>11</w:t>
      </w:r>
      <w:r w:rsidR="000E2934">
        <w:t>.</w:t>
      </w:r>
      <w:r w:rsidRPr="001D0C51">
        <w:tab/>
        <w:t>Rangaswami, J.</w:t>
      </w:r>
      <w:r w:rsidRPr="001D0C51">
        <w:rPr>
          <w:i/>
        </w:rPr>
        <w:t xml:space="preserve"> et al.</w:t>
      </w:r>
      <w:r w:rsidRPr="001D0C51">
        <w:t xml:space="preserve"> Cardiovascular disease in the kidney transplant recipient: epidemiology, diagnosis and management strategies. </w:t>
      </w:r>
      <w:r w:rsidRPr="001D0C51">
        <w:rPr>
          <w:i/>
        </w:rPr>
        <w:t>Nephrol Dial Transplant</w:t>
      </w:r>
      <w:r w:rsidRPr="001D0C51">
        <w:t xml:space="preserve"> </w:t>
      </w:r>
      <w:r w:rsidRPr="001D0C51">
        <w:rPr>
          <w:b/>
        </w:rPr>
        <w:t>34</w:t>
      </w:r>
      <w:r w:rsidRPr="001D0C51">
        <w:t>, 760-773, doi:10.1093/ndt/gfz053 (2019).</w:t>
      </w:r>
    </w:p>
    <w:p w14:paraId="56DAF301" w14:textId="5C3478EF" w:rsidR="001D0C51" w:rsidRPr="001D0C51" w:rsidRDefault="001D0C51" w:rsidP="00D23A98">
      <w:pPr>
        <w:pStyle w:val="EndNoteBibliography"/>
        <w:spacing w:after="0" w:line="276" w:lineRule="auto"/>
        <w:ind w:left="720" w:hanging="720"/>
      </w:pPr>
      <w:r w:rsidRPr="001D0C51">
        <w:t>12</w:t>
      </w:r>
      <w:r w:rsidR="000E2934">
        <w:t>.</w:t>
      </w:r>
      <w:r w:rsidRPr="001D0C51">
        <w:tab/>
        <w:t>Fiorentino, M.</w:t>
      </w:r>
      <w:r w:rsidRPr="001D0C51">
        <w:rPr>
          <w:i/>
        </w:rPr>
        <w:t xml:space="preserve"> et al.</w:t>
      </w:r>
      <w:r w:rsidRPr="001D0C51">
        <w:t xml:space="preserve"> Management of patients with a failed kidney transplant: what should we do? </w:t>
      </w:r>
      <w:r w:rsidRPr="001D0C51">
        <w:rPr>
          <w:i/>
        </w:rPr>
        <w:t>Clin Kidney J</w:t>
      </w:r>
      <w:r w:rsidRPr="001D0C51">
        <w:t xml:space="preserve"> </w:t>
      </w:r>
      <w:r w:rsidRPr="001D0C51">
        <w:rPr>
          <w:b/>
        </w:rPr>
        <w:t>14</w:t>
      </w:r>
      <w:r w:rsidRPr="001D0C51">
        <w:t>, 98-106, doi:10.1093/ckj/sfaa094 (2021).</w:t>
      </w:r>
    </w:p>
    <w:p w14:paraId="41E1EBBD" w14:textId="6410589E" w:rsidR="001D0C51" w:rsidRPr="001D0C51" w:rsidRDefault="001D0C51" w:rsidP="00D23A98">
      <w:pPr>
        <w:pStyle w:val="EndNoteBibliography"/>
        <w:spacing w:after="0" w:line="276" w:lineRule="auto"/>
        <w:ind w:left="720" w:hanging="720"/>
      </w:pPr>
      <w:r w:rsidRPr="001D0C51">
        <w:t>13</w:t>
      </w:r>
      <w:r w:rsidR="000E2934">
        <w:t>.</w:t>
      </w:r>
      <w:r w:rsidRPr="001D0C51">
        <w:tab/>
        <w:t xml:space="preserve">Moist, L. M. &amp; Gill, J. S. Patient Management When Returning to Dialysis after a Failed Kidney Transplant. </w:t>
      </w:r>
      <w:r w:rsidRPr="001D0C51">
        <w:rPr>
          <w:i/>
        </w:rPr>
        <w:t>Clin J Am Soc Nephrol</w:t>
      </w:r>
      <w:r w:rsidRPr="001D0C51">
        <w:t xml:space="preserve"> </w:t>
      </w:r>
      <w:r w:rsidRPr="001D0C51">
        <w:rPr>
          <w:b/>
        </w:rPr>
        <w:t>16</w:t>
      </w:r>
      <w:r w:rsidRPr="001D0C51">
        <w:t>, 1423-1425, doi:10.2215/CJN.19731220 (2021).</w:t>
      </w:r>
    </w:p>
    <w:p w14:paraId="032EBA17" w14:textId="62247F89" w:rsidR="001D0C51" w:rsidRPr="00280BC8" w:rsidRDefault="001D0C51" w:rsidP="00D23A98">
      <w:pPr>
        <w:pStyle w:val="EndNoteBibliography"/>
        <w:spacing w:after="0" w:line="276" w:lineRule="auto"/>
        <w:ind w:left="720" w:hanging="720"/>
        <w:rPr>
          <w:lang w:val="fr-FR"/>
        </w:rPr>
      </w:pPr>
      <w:r w:rsidRPr="001D0C51">
        <w:t>14</w:t>
      </w:r>
      <w:r w:rsidR="000E2934">
        <w:t>.</w:t>
      </w:r>
      <w:r w:rsidRPr="001D0C51">
        <w:tab/>
        <w:t>Perl, J.</w:t>
      </w:r>
      <w:r w:rsidRPr="001D0C51">
        <w:rPr>
          <w:i/>
        </w:rPr>
        <w:t xml:space="preserve"> et al.</w:t>
      </w:r>
      <w:r w:rsidRPr="001D0C51">
        <w:t xml:space="preserve"> Reduced survival and quality of life following return to dialysis after transplant failure: the Dialysis Outcomes and Practice Patterns Study. </w:t>
      </w:r>
      <w:r w:rsidRPr="00280BC8">
        <w:rPr>
          <w:i/>
          <w:lang w:val="fr-FR"/>
        </w:rPr>
        <w:t>Nephrol Dial Transplant</w:t>
      </w:r>
      <w:r w:rsidRPr="00280BC8">
        <w:rPr>
          <w:lang w:val="fr-FR"/>
        </w:rPr>
        <w:t xml:space="preserve"> </w:t>
      </w:r>
      <w:r w:rsidRPr="00280BC8">
        <w:rPr>
          <w:b/>
          <w:lang w:val="fr-FR"/>
        </w:rPr>
        <w:t>27</w:t>
      </w:r>
      <w:r w:rsidRPr="00280BC8">
        <w:rPr>
          <w:lang w:val="fr-FR"/>
        </w:rPr>
        <w:t>, 4464-4472, doi:10.1093/ndt/gfs386 (2012).</w:t>
      </w:r>
    </w:p>
    <w:p w14:paraId="13FE07E0" w14:textId="2D3D9851" w:rsidR="001D0C51" w:rsidRPr="001D0C51" w:rsidRDefault="001D0C51" w:rsidP="00D23A98">
      <w:pPr>
        <w:pStyle w:val="EndNoteBibliography"/>
        <w:spacing w:after="0" w:line="276" w:lineRule="auto"/>
        <w:ind w:left="720" w:hanging="720"/>
      </w:pPr>
      <w:r w:rsidRPr="00280BC8">
        <w:rPr>
          <w:lang w:val="fr-FR"/>
        </w:rPr>
        <w:t>15</w:t>
      </w:r>
      <w:r w:rsidR="000E2934" w:rsidRPr="00280BC8">
        <w:rPr>
          <w:lang w:val="fr-FR"/>
        </w:rPr>
        <w:t>.</w:t>
      </w:r>
      <w:r w:rsidRPr="00280BC8">
        <w:rPr>
          <w:lang w:val="fr-FR"/>
        </w:rPr>
        <w:tab/>
        <w:t>Bisigniano, L.</w:t>
      </w:r>
      <w:r w:rsidRPr="00280BC8">
        <w:rPr>
          <w:i/>
          <w:lang w:val="fr-FR"/>
        </w:rPr>
        <w:t xml:space="preserve"> et al.</w:t>
      </w:r>
      <w:r w:rsidRPr="00280BC8">
        <w:rPr>
          <w:lang w:val="fr-FR"/>
        </w:rPr>
        <w:t xml:space="preserve"> </w:t>
      </w:r>
      <w:r w:rsidRPr="001D0C51">
        <w:t xml:space="preserve">Reduced survival in patients who return to dialysis after kidney allograft failure. </w:t>
      </w:r>
      <w:r w:rsidRPr="001D0C51">
        <w:rPr>
          <w:i/>
        </w:rPr>
        <w:t>Clin Transplant</w:t>
      </w:r>
      <w:r w:rsidRPr="001D0C51">
        <w:t xml:space="preserve"> </w:t>
      </w:r>
      <w:r w:rsidRPr="001D0C51">
        <w:rPr>
          <w:b/>
        </w:rPr>
        <w:t>34</w:t>
      </w:r>
      <w:r w:rsidRPr="001D0C51">
        <w:t>, e14014, doi:10.1111/ctr.14014 (2020).</w:t>
      </w:r>
    </w:p>
    <w:p w14:paraId="50BB23F8" w14:textId="2F092455" w:rsidR="001D0C51" w:rsidRPr="00280BC8" w:rsidRDefault="001D0C51" w:rsidP="00D23A98">
      <w:pPr>
        <w:pStyle w:val="EndNoteBibliography"/>
        <w:spacing w:after="0" w:line="276" w:lineRule="auto"/>
        <w:ind w:left="720" w:hanging="720"/>
        <w:rPr>
          <w:lang w:val="fr-FR"/>
        </w:rPr>
      </w:pPr>
      <w:r w:rsidRPr="001D0C51">
        <w:t>16</w:t>
      </w:r>
      <w:r w:rsidR="000E2934">
        <w:t>.</w:t>
      </w:r>
      <w:r w:rsidRPr="001D0C51">
        <w:tab/>
        <w:t>Kabani, R.</w:t>
      </w:r>
      <w:r w:rsidRPr="001D0C51">
        <w:rPr>
          <w:i/>
        </w:rPr>
        <w:t xml:space="preserve"> et al.</w:t>
      </w:r>
      <w:r w:rsidRPr="001D0C51">
        <w:t xml:space="preserve"> Risk of death following kidney allograft failure: a systematic review and meta-analysis of cohort studies. </w:t>
      </w:r>
      <w:r w:rsidRPr="00280BC8">
        <w:rPr>
          <w:i/>
          <w:lang w:val="fr-FR"/>
        </w:rPr>
        <w:t>Nephrol Dial Transplant</w:t>
      </w:r>
      <w:r w:rsidRPr="00280BC8">
        <w:rPr>
          <w:lang w:val="fr-FR"/>
        </w:rPr>
        <w:t xml:space="preserve"> </w:t>
      </w:r>
      <w:r w:rsidRPr="00280BC8">
        <w:rPr>
          <w:b/>
          <w:lang w:val="fr-FR"/>
        </w:rPr>
        <w:t>29</w:t>
      </w:r>
      <w:r w:rsidRPr="00280BC8">
        <w:rPr>
          <w:lang w:val="fr-FR"/>
        </w:rPr>
        <w:t>, 1778-1786, doi:10.1093/ndt/gfu205 (2014).</w:t>
      </w:r>
    </w:p>
    <w:p w14:paraId="1A2C1BA0" w14:textId="0CC3A09B" w:rsidR="001D0C51" w:rsidRPr="001D0C51" w:rsidRDefault="001D0C51" w:rsidP="00D23A98">
      <w:pPr>
        <w:pStyle w:val="EndNoteBibliography"/>
        <w:spacing w:after="0" w:line="276" w:lineRule="auto"/>
        <w:ind w:left="720" w:hanging="720"/>
      </w:pPr>
      <w:r w:rsidRPr="00280BC8">
        <w:rPr>
          <w:lang w:val="fr-FR"/>
        </w:rPr>
        <w:t>17</w:t>
      </w:r>
      <w:r w:rsidR="000E2934" w:rsidRPr="00280BC8">
        <w:rPr>
          <w:lang w:val="fr-FR"/>
        </w:rPr>
        <w:t>.</w:t>
      </w:r>
      <w:r w:rsidRPr="00280BC8">
        <w:rPr>
          <w:lang w:val="fr-FR"/>
        </w:rPr>
        <w:tab/>
        <w:t>Rao, P. S.</w:t>
      </w:r>
      <w:r w:rsidRPr="00280BC8">
        <w:rPr>
          <w:i/>
          <w:lang w:val="fr-FR"/>
        </w:rPr>
        <w:t xml:space="preserve"> et al.</w:t>
      </w:r>
      <w:r w:rsidRPr="00280BC8">
        <w:rPr>
          <w:lang w:val="fr-FR"/>
        </w:rPr>
        <w:t xml:space="preserve"> </w:t>
      </w:r>
      <w:r w:rsidRPr="001D0C51">
        <w:t xml:space="preserve">Survival on dialysis post-kidney transplant failure: results from the Scientific Registry of Transplant Recipients. </w:t>
      </w:r>
      <w:r w:rsidRPr="001D0C51">
        <w:rPr>
          <w:i/>
        </w:rPr>
        <w:t>Am J Kidney Dis</w:t>
      </w:r>
      <w:r w:rsidRPr="001D0C51">
        <w:t xml:space="preserve"> </w:t>
      </w:r>
      <w:r w:rsidRPr="001D0C51">
        <w:rPr>
          <w:b/>
        </w:rPr>
        <w:t>49</w:t>
      </w:r>
      <w:r w:rsidRPr="001D0C51">
        <w:t>, 294-300, doi:10.1053/j.ajkd.2006.11.022 (2007).</w:t>
      </w:r>
    </w:p>
    <w:p w14:paraId="0447A538" w14:textId="77777777" w:rsidR="001D0C51" w:rsidRPr="001D0C51" w:rsidRDefault="001D0C51" w:rsidP="00D23A98">
      <w:pPr>
        <w:pStyle w:val="EndNoteBibliography"/>
        <w:spacing w:after="0" w:line="276" w:lineRule="auto"/>
        <w:ind w:left="720" w:hanging="720"/>
      </w:pPr>
      <w:r w:rsidRPr="001D0C51">
        <w:t>18</w:t>
      </w:r>
      <w:r w:rsidRPr="001D0C51">
        <w:tab/>
        <w:t>Kainz, A.</w:t>
      </w:r>
      <w:r w:rsidRPr="001D0C51">
        <w:rPr>
          <w:i/>
        </w:rPr>
        <w:t xml:space="preserve"> et al.</w:t>
      </w:r>
      <w:r w:rsidRPr="001D0C51">
        <w:t xml:space="preserve"> Waiting Time for Second Kidney Transplantation and Mortality. </w:t>
      </w:r>
      <w:r w:rsidRPr="001D0C51">
        <w:rPr>
          <w:i/>
        </w:rPr>
        <w:t>Clin J Am Soc Nephrol</w:t>
      </w:r>
      <w:r w:rsidRPr="001D0C51">
        <w:t xml:space="preserve"> </w:t>
      </w:r>
      <w:r w:rsidRPr="001D0C51">
        <w:rPr>
          <w:b/>
        </w:rPr>
        <w:t>17</w:t>
      </w:r>
      <w:r w:rsidRPr="001D0C51">
        <w:t>, 90-97, doi:10.2215/CJN.07620621 (2022).</w:t>
      </w:r>
    </w:p>
    <w:p w14:paraId="77A875D0" w14:textId="47F517F9" w:rsidR="001D0C51" w:rsidRPr="001D0C51" w:rsidRDefault="001D0C51" w:rsidP="00D23A98">
      <w:pPr>
        <w:pStyle w:val="EndNoteBibliography"/>
        <w:spacing w:after="0" w:line="276" w:lineRule="auto"/>
        <w:ind w:left="720" w:hanging="720"/>
      </w:pPr>
      <w:r w:rsidRPr="001D0C51">
        <w:t>19</w:t>
      </w:r>
      <w:r w:rsidR="000E2934">
        <w:t>.</w:t>
      </w:r>
      <w:r w:rsidRPr="001D0C51">
        <w:tab/>
        <w:t xml:space="preserve">Baker, R. J. M., P.B; Patel. R.K.; Stevens, K.K.; Palmer, N. &lt;Post-operative care in the kidney transplant recipient.pdf&gt;. </w:t>
      </w:r>
      <w:r w:rsidRPr="001D0C51">
        <w:rPr>
          <w:i/>
        </w:rPr>
        <w:t>British Transplantation Society Clinical Practice Guideline</w:t>
      </w:r>
      <w:r w:rsidRPr="001D0C51">
        <w:t xml:space="preserve"> (2017).</w:t>
      </w:r>
    </w:p>
    <w:p w14:paraId="24177A25" w14:textId="20A5981B" w:rsidR="001D0C51" w:rsidRPr="001D0C51" w:rsidRDefault="001D0C51" w:rsidP="00D23A98">
      <w:pPr>
        <w:pStyle w:val="EndNoteBibliography"/>
        <w:spacing w:after="0" w:line="276" w:lineRule="auto"/>
        <w:ind w:left="720" w:hanging="720"/>
      </w:pPr>
      <w:r w:rsidRPr="001D0C51">
        <w:t>20</w:t>
      </w:r>
      <w:r w:rsidR="000E2934">
        <w:t>.</w:t>
      </w:r>
      <w:r w:rsidRPr="001D0C51">
        <w:tab/>
        <w:t xml:space="preserve">Kidney Disease: Improving Global Outcomes (KDIGO) Transplant Work Group. KDIGO clinical practice guideline for the care of kidney trannsplant recipients. </w:t>
      </w:r>
      <w:r w:rsidRPr="001D0C51">
        <w:rPr>
          <w:i/>
        </w:rPr>
        <w:t>American Journal of Transplantation</w:t>
      </w:r>
      <w:r w:rsidRPr="001D0C51">
        <w:t xml:space="preserve"> </w:t>
      </w:r>
      <w:r w:rsidRPr="001D0C51">
        <w:rPr>
          <w:b/>
        </w:rPr>
        <w:t>9</w:t>
      </w:r>
      <w:r w:rsidRPr="001D0C51">
        <w:t>, 157 (2009).</w:t>
      </w:r>
    </w:p>
    <w:p w14:paraId="3196B748" w14:textId="0BC905D3" w:rsidR="001D0C51" w:rsidRPr="001D0C51" w:rsidRDefault="001D0C51" w:rsidP="00D23A98">
      <w:pPr>
        <w:pStyle w:val="EndNoteBibliography"/>
        <w:spacing w:after="0" w:line="276" w:lineRule="auto"/>
        <w:ind w:left="720" w:hanging="720"/>
      </w:pPr>
      <w:r w:rsidRPr="001D0C51">
        <w:lastRenderedPageBreak/>
        <w:t>21</w:t>
      </w:r>
      <w:r w:rsidR="000E2934">
        <w:t>.</w:t>
      </w:r>
      <w:r w:rsidRPr="001D0C51">
        <w:tab/>
        <w:t>Evans, R. D. R.</w:t>
      </w:r>
      <w:r w:rsidRPr="001D0C51">
        <w:rPr>
          <w:i/>
        </w:rPr>
        <w:t xml:space="preserve"> et al.</w:t>
      </w:r>
      <w:r w:rsidRPr="001D0C51">
        <w:t xml:space="preserve"> Assessment of a Dedicated Transplant Low Clearance Clinic and Patient Outcomes on Dialysis After Renal Allograft Loss at 2 UK Transplant Centers. </w:t>
      </w:r>
      <w:r w:rsidRPr="001D0C51">
        <w:rPr>
          <w:i/>
        </w:rPr>
        <w:t>Transplant Direct</w:t>
      </w:r>
      <w:r w:rsidRPr="001D0C51">
        <w:t xml:space="preserve"> </w:t>
      </w:r>
      <w:r w:rsidRPr="001D0C51">
        <w:rPr>
          <w:b/>
        </w:rPr>
        <w:t>4</w:t>
      </w:r>
      <w:r w:rsidRPr="001D0C51">
        <w:t>, e352, doi:10.1097/TXD.0000000000000788 (2018).</w:t>
      </w:r>
    </w:p>
    <w:p w14:paraId="1F90AF7C" w14:textId="39F1241A" w:rsidR="001D0C51" w:rsidRPr="001D0C51" w:rsidRDefault="001D0C51" w:rsidP="00D23A98">
      <w:pPr>
        <w:pStyle w:val="EndNoteBibliography"/>
        <w:spacing w:after="0" w:line="276" w:lineRule="auto"/>
        <w:ind w:left="720" w:hanging="720"/>
      </w:pPr>
      <w:r w:rsidRPr="001D0C51">
        <w:t>22</w:t>
      </w:r>
      <w:r w:rsidR="000E2934">
        <w:t>.</w:t>
      </w:r>
      <w:r w:rsidRPr="001D0C51">
        <w:tab/>
        <w:t xml:space="preserve">Arshad, A., Jackson-Spence, F. &amp; Sharif, A. Development and evaluation of dedicated low clearance transplant clinics for patients with failing kidney transplants. </w:t>
      </w:r>
      <w:r w:rsidRPr="001D0C51">
        <w:rPr>
          <w:i/>
        </w:rPr>
        <w:t>J Ren Care</w:t>
      </w:r>
      <w:r w:rsidRPr="001D0C51">
        <w:t xml:space="preserve"> </w:t>
      </w:r>
      <w:r w:rsidRPr="001D0C51">
        <w:rPr>
          <w:b/>
        </w:rPr>
        <w:t>45</w:t>
      </w:r>
      <w:r w:rsidRPr="001D0C51">
        <w:t>, 51-58, doi:10.1111/jorc.12268 (2019).</w:t>
      </w:r>
    </w:p>
    <w:p w14:paraId="2BCA8914" w14:textId="7302D8FA" w:rsidR="001D0C51" w:rsidRPr="001D0C51" w:rsidRDefault="001D0C51" w:rsidP="001D0C51">
      <w:pPr>
        <w:pStyle w:val="EndNoteBibliography"/>
        <w:ind w:left="720" w:hanging="720"/>
      </w:pPr>
      <w:r w:rsidRPr="001D0C51">
        <w:t>23</w:t>
      </w:r>
      <w:r w:rsidR="000E2934">
        <w:t>.</w:t>
      </w:r>
      <w:r w:rsidRPr="001D0C51">
        <w:tab/>
        <w:t xml:space="preserve">Gittus, M., Bailey, P. &amp; Griffin, S. V. in </w:t>
      </w:r>
      <w:r w:rsidRPr="001D0C51">
        <w:rPr>
          <w:i/>
        </w:rPr>
        <w:t>British Transplantation Society Annual Meeting</w:t>
      </w:r>
      <w:r w:rsidRPr="001D0C51">
        <w:t xml:space="preserve">    (2023).</w:t>
      </w:r>
    </w:p>
    <w:p w14:paraId="2EABCD5E" w14:textId="64A595E0" w:rsidR="008F47F2" w:rsidRPr="00053D48" w:rsidRDefault="00427890" w:rsidP="009A3A4A">
      <w:pPr>
        <w:pStyle w:val="Heading2"/>
        <w:spacing w:before="0" w:after="160" w:line="276" w:lineRule="auto"/>
      </w:pPr>
      <w:r>
        <w:rPr>
          <w:color w:val="FF0000"/>
        </w:rPr>
        <w:fldChar w:fldCharType="end"/>
      </w:r>
      <w:bookmarkStart w:id="3" w:name="_Toc128329912"/>
      <w:r w:rsidR="008F47F2" w:rsidRPr="00053D48">
        <w:t>Process of writing and methodology</w:t>
      </w:r>
      <w:bookmarkEnd w:id="3"/>
      <w:r w:rsidR="008F47F2" w:rsidRPr="00053D48">
        <w:t xml:space="preserve"> </w:t>
      </w:r>
    </w:p>
    <w:p w14:paraId="73CD1FE4" w14:textId="63B034B6" w:rsidR="00F82C4A" w:rsidRDefault="008F47F2" w:rsidP="006611E8">
      <w:pPr>
        <w:spacing w:line="276" w:lineRule="auto"/>
        <w:jc w:val="both"/>
      </w:pPr>
      <w:r>
        <w:t>The Guideline has been written under the auspices of the BTS Guidelines and Standards Committee, in line with the B</w:t>
      </w:r>
      <w:r w:rsidR="00F82C4A">
        <w:t xml:space="preserve">ritish </w:t>
      </w:r>
      <w:r>
        <w:t>T</w:t>
      </w:r>
      <w:r w:rsidR="00F82C4A">
        <w:t xml:space="preserve">ransplant </w:t>
      </w:r>
      <w:r>
        <w:t>S</w:t>
      </w:r>
      <w:r w:rsidR="00F82C4A">
        <w:t>ociety</w:t>
      </w:r>
      <w:r>
        <w:t xml:space="preserve"> </w:t>
      </w:r>
      <w:r w:rsidR="002939EE">
        <w:t>Guideline Development Policy</w:t>
      </w:r>
      <w:r w:rsidR="002F47B2" w:rsidRPr="002F47B2">
        <w:rPr>
          <w:vertAlign w:val="superscript"/>
        </w:rPr>
        <w:t>1</w:t>
      </w:r>
      <w:r>
        <w:t>.</w:t>
      </w:r>
      <w:r w:rsidR="002939EE">
        <w:t xml:space="preserve"> An open call for contributory authors was issued in </w:t>
      </w:r>
      <w:r w:rsidR="00662622">
        <w:t xml:space="preserve">the </w:t>
      </w:r>
      <w:r w:rsidR="00487207">
        <w:t>Spring</w:t>
      </w:r>
      <w:r w:rsidR="002939EE">
        <w:t xml:space="preserve"> </w:t>
      </w:r>
      <w:r w:rsidR="00662622">
        <w:t xml:space="preserve">of </w:t>
      </w:r>
      <w:r w:rsidR="002939EE">
        <w:t xml:space="preserve">2021 and the writing group first met in June 2021. </w:t>
      </w:r>
      <w:r w:rsidR="00F82C4A">
        <w:t xml:space="preserve">Contributing authors include </w:t>
      </w:r>
      <w:r w:rsidR="00662622">
        <w:t xml:space="preserve">a </w:t>
      </w:r>
      <w:r w:rsidR="00F82C4A">
        <w:t xml:space="preserve">broad representation </w:t>
      </w:r>
      <w:r w:rsidR="00662622">
        <w:t>of</w:t>
      </w:r>
      <w:r w:rsidR="00F82C4A">
        <w:t xml:space="preserve"> the multi-disciplinary team involved in patient care, and transplant recipients.</w:t>
      </w:r>
    </w:p>
    <w:p w14:paraId="036B360F" w14:textId="73B8B58D" w:rsidR="002939EE" w:rsidRDefault="002939EE" w:rsidP="006611E8">
      <w:pPr>
        <w:spacing w:line="276" w:lineRule="auto"/>
        <w:jc w:val="both"/>
      </w:pPr>
      <w:r>
        <w:t xml:space="preserve">The </w:t>
      </w:r>
      <w:r w:rsidR="00662622">
        <w:t>structure</w:t>
      </w:r>
      <w:r>
        <w:t xml:space="preserve"> of the revised guideline is based on the previous edition, published in 20</w:t>
      </w:r>
      <w:r w:rsidR="00487207">
        <w:t>14</w:t>
      </w:r>
      <w:r>
        <w:t xml:space="preserve">. </w:t>
      </w:r>
      <w:r w:rsidR="00F82C4A">
        <w:t xml:space="preserve">The overall writing group was divided into 10 sub-groups, each focussing on a separate chapter. </w:t>
      </w:r>
      <w:r>
        <w:t xml:space="preserve">The Centre for Evidence in Transplantation (CET) provided training to undertake a systematic literature search for each chapter. </w:t>
      </w:r>
      <w:r w:rsidR="00487207">
        <w:t xml:space="preserve">The content of each chapter was discussed by the wider group prior to collation for consultation. The identification of patient co-authors was facilitated by the Kidney Patient Involvement Network. </w:t>
      </w:r>
    </w:p>
    <w:p w14:paraId="3FA30DC2" w14:textId="0C32277F" w:rsidR="008F47F2" w:rsidRDefault="008F47F2" w:rsidP="006611E8">
      <w:pPr>
        <w:spacing w:line="276" w:lineRule="auto"/>
        <w:jc w:val="both"/>
      </w:pPr>
      <w:r>
        <w:t xml:space="preserve">A review of the relevant literature was performed by the authors, and the recommendations contained within the guideline resulted from a collective decision reached </w:t>
      </w:r>
      <w:r w:rsidR="00487207">
        <w:t>following</w:t>
      </w:r>
      <w:r>
        <w:t xml:space="preserve"> discussion.</w:t>
      </w:r>
      <w:r w:rsidR="00487207" w:rsidRPr="00487207">
        <w:rPr>
          <w:rFonts w:cstheme="minorHAnsi"/>
          <w:color w:val="333333"/>
          <w:shd w:val="clear" w:color="auto" w:fill="FFFFFF"/>
        </w:rPr>
        <w:t xml:space="preserve"> </w:t>
      </w:r>
      <w:r w:rsidR="00487207">
        <w:rPr>
          <w:rFonts w:cstheme="minorHAnsi"/>
          <w:color w:val="333333"/>
          <w:shd w:val="clear" w:color="auto" w:fill="FFFFFF"/>
        </w:rPr>
        <w:t xml:space="preserve">Consensus was obtained within the groups for selection of studies to cite. Where there is </w:t>
      </w:r>
      <w:r w:rsidR="00662622">
        <w:rPr>
          <w:rFonts w:cstheme="minorHAnsi"/>
          <w:color w:val="333333"/>
          <w:shd w:val="clear" w:color="auto" w:fill="FFFFFF"/>
        </w:rPr>
        <w:t xml:space="preserve">an </w:t>
      </w:r>
      <w:r w:rsidR="00487207">
        <w:rPr>
          <w:rFonts w:cstheme="minorHAnsi"/>
          <w:color w:val="333333"/>
          <w:shd w:val="clear" w:color="auto" w:fill="FFFFFF"/>
        </w:rPr>
        <w:t xml:space="preserve">overlap with </w:t>
      </w:r>
      <w:r w:rsidR="00E25C6B">
        <w:rPr>
          <w:rFonts w:cstheme="minorHAnsi"/>
          <w:color w:val="333333"/>
          <w:shd w:val="clear" w:color="auto" w:fill="FFFFFF"/>
        </w:rPr>
        <w:t xml:space="preserve">an </w:t>
      </w:r>
      <w:r w:rsidR="00487207">
        <w:rPr>
          <w:rFonts w:cstheme="minorHAnsi"/>
          <w:color w:val="333333"/>
          <w:shd w:val="clear" w:color="auto" w:fill="FFFFFF"/>
        </w:rPr>
        <w:t>existing guideline</w:t>
      </w:r>
      <w:r w:rsidR="00E25C6B">
        <w:rPr>
          <w:rFonts w:cstheme="minorHAnsi"/>
          <w:color w:val="333333"/>
          <w:shd w:val="clear" w:color="auto" w:fill="FFFFFF"/>
        </w:rPr>
        <w:t>,</w:t>
      </w:r>
      <w:r w:rsidR="00E25C6B" w:rsidRPr="00E25C6B">
        <w:rPr>
          <w:rFonts w:cstheme="minorHAnsi"/>
          <w:color w:val="333333"/>
          <w:shd w:val="clear" w:color="auto" w:fill="FFFFFF"/>
        </w:rPr>
        <w:t xml:space="preserve"> </w:t>
      </w:r>
      <w:r w:rsidR="00E25C6B">
        <w:rPr>
          <w:rFonts w:cstheme="minorHAnsi"/>
          <w:color w:val="333333"/>
          <w:shd w:val="clear" w:color="auto" w:fill="FFFFFF"/>
        </w:rPr>
        <w:t>these are referenced to avoid duplication. F</w:t>
      </w:r>
      <w:r w:rsidR="00487207">
        <w:rPr>
          <w:rFonts w:cstheme="minorHAnsi"/>
          <w:color w:val="333333"/>
          <w:shd w:val="clear" w:color="auto" w:fill="FFFFFF"/>
        </w:rPr>
        <w:t>or example</w:t>
      </w:r>
      <w:r w:rsidR="000D0891">
        <w:rPr>
          <w:rFonts w:cstheme="minorHAnsi"/>
          <w:color w:val="333333"/>
          <w:shd w:val="clear" w:color="auto" w:fill="FFFFFF"/>
        </w:rPr>
        <w:t>,</w:t>
      </w:r>
      <w:r w:rsidR="00487207">
        <w:rPr>
          <w:rFonts w:cstheme="minorHAnsi"/>
          <w:color w:val="333333"/>
          <w:shd w:val="clear" w:color="auto" w:fill="FFFFFF"/>
        </w:rPr>
        <w:t xml:space="preserve"> </w:t>
      </w:r>
      <w:r w:rsidR="00E25C6B">
        <w:t>general management recommendations are described in the BTS Clinical Practice Guideline – Post-Operative Care of the Kidney Transplant Recipient</w:t>
      </w:r>
      <w:r w:rsidR="00487207">
        <w:rPr>
          <w:rFonts w:cstheme="minorHAnsi"/>
          <w:color w:val="333333"/>
          <w:shd w:val="clear" w:color="auto" w:fill="FFFFFF"/>
        </w:rPr>
        <w:t xml:space="preserve">. The focus of this guideline is on the failing graft and transitions to re-transplantation, </w:t>
      </w:r>
      <w:r w:rsidR="000D0891">
        <w:rPr>
          <w:rFonts w:cstheme="minorHAnsi"/>
          <w:color w:val="333333"/>
          <w:shd w:val="clear" w:color="auto" w:fill="FFFFFF"/>
        </w:rPr>
        <w:t>dialysis,</w:t>
      </w:r>
      <w:r w:rsidR="00487207">
        <w:rPr>
          <w:rFonts w:cstheme="minorHAnsi"/>
          <w:color w:val="333333"/>
          <w:shd w:val="clear" w:color="auto" w:fill="FFFFFF"/>
        </w:rPr>
        <w:t xml:space="preserve"> or conservative care.</w:t>
      </w:r>
    </w:p>
    <w:p w14:paraId="492AF389" w14:textId="79E31B41" w:rsidR="002939EE" w:rsidRDefault="008F47F2" w:rsidP="006611E8">
      <w:pPr>
        <w:spacing w:line="276" w:lineRule="auto"/>
        <w:jc w:val="both"/>
      </w:pPr>
      <w:r>
        <w:t xml:space="preserve">This guideline is designed to be used by healthcare professionals working in the out-patient setting with kidney transplant recipients, their significant </w:t>
      </w:r>
      <w:proofErr w:type="gramStart"/>
      <w:r>
        <w:t>others</w:t>
      </w:r>
      <w:proofErr w:type="gramEnd"/>
      <w:r>
        <w:t xml:space="preserve"> and carers. </w:t>
      </w:r>
    </w:p>
    <w:p w14:paraId="18999775" w14:textId="3A1B7317" w:rsidR="002F47B2" w:rsidRDefault="002F47B2" w:rsidP="002F47B2">
      <w:pPr>
        <w:pStyle w:val="Heading2"/>
      </w:pPr>
      <w:bookmarkStart w:id="4" w:name="_Toc128329913"/>
      <w:r>
        <w:t>Reference</w:t>
      </w:r>
      <w:r w:rsidR="00514677">
        <w:t>s</w:t>
      </w:r>
      <w:bookmarkEnd w:id="4"/>
    </w:p>
    <w:p w14:paraId="19DDF996" w14:textId="2854A446" w:rsidR="002F47B2" w:rsidRPr="002F47B2" w:rsidRDefault="002F47B2" w:rsidP="00346D2E">
      <w:pPr>
        <w:pStyle w:val="ListParagraph"/>
        <w:numPr>
          <w:ilvl w:val="0"/>
          <w:numId w:val="41"/>
        </w:numPr>
      </w:pPr>
      <w:r w:rsidRPr="002F47B2">
        <w:t>https://bts.org.uk/wp-content/uploads/2021/05/BTS_Guideline_Development_Policy_2021.pdf</w:t>
      </w:r>
    </w:p>
    <w:p w14:paraId="771B5141" w14:textId="6023ADD7" w:rsidR="008F47F2" w:rsidRDefault="008F47F2" w:rsidP="006611E8">
      <w:pPr>
        <w:pStyle w:val="Heading2"/>
        <w:spacing w:before="0" w:after="160" w:line="276" w:lineRule="auto"/>
      </w:pPr>
      <w:bookmarkStart w:id="5" w:name="_Toc128329914"/>
      <w:r>
        <w:t>Contributing authors</w:t>
      </w:r>
      <w:bookmarkEnd w:id="5"/>
    </w:p>
    <w:p w14:paraId="53D10A0A" w14:textId="0D106E0E" w:rsidR="008821B5" w:rsidRDefault="008821B5" w:rsidP="00F00B65">
      <w:pPr>
        <w:spacing w:after="0" w:line="276" w:lineRule="auto"/>
        <w:jc w:val="both"/>
      </w:pPr>
      <w:r>
        <w:t>Professor Si</w:t>
      </w:r>
      <w:r>
        <w:rPr>
          <w:rFonts w:cstheme="minorHAnsi"/>
        </w:rPr>
        <w:t>â</w:t>
      </w:r>
      <w:r>
        <w:t xml:space="preserve">n Griffin, Consultant Nephrologist, </w:t>
      </w:r>
      <w:proofErr w:type="gramStart"/>
      <w:r>
        <w:t>Cardiff</w:t>
      </w:r>
      <w:proofErr w:type="gramEnd"/>
      <w:r>
        <w:t xml:space="preserve"> and Vale UH</w:t>
      </w:r>
      <w:r w:rsidR="005652A4">
        <w:t>B</w:t>
      </w:r>
    </w:p>
    <w:p w14:paraId="1FE678A7" w14:textId="740BFA0A" w:rsidR="008821B5" w:rsidRDefault="008821B5" w:rsidP="00F00B65">
      <w:pPr>
        <w:spacing w:after="0" w:line="276" w:lineRule="auto"/>
        <w:jc w:val="both"/>
      </w:pPr>
      <w:r>
        <w:t>Dr Elham Asgari, Consultant Nephrologist, Guys and St Thomas’ NHS Foundation Trust</w:t>
      </w:r>
    </w:p>
    <w:p w14:paraId="2FE5268F" w14:textId="7A2B53A2" w:rsidR="00547CD0" w:rsidRDefault="00547CD0" w:rsidP="00F00B65">
      <w:pPr>
        <w:spacing w:after="0" w:line="276" w:lineRule="auto"/>
        <w:jc w:val="both"/>
        <w:rPr>
          <w:rFonts w:cstheme="minorHAnsi"/>
        </w:rPr>
      </w:pPr>
      <w:r>
        <w:rPr>
          <w:rFonts w:cstheme="minorHAnsi"/>
        </w:rPr>
        <w:t xml:space="preserve">Dr </w:t>
      </w:r>
      <w:r w:rsidRPr="00D323D6">
        <w:rPr>
          <w:rFonts w:cstheme="minorHAnsi"/>
        </w:rPr>
        <w:t>Adnan Sharif</w:t>
      </w:r>
      <w:r>
        <w:rPr>
          <w:rFonts w:cstheme="minorHAnsi"/>
        </w:rPr>
        <w:t xml:space="preserve">, Consultant Nephrologist, </w:t>
      </w:r>
      <w:r w:rsidR="008E49F7">
        <w:rPr>
          <w:rFonts w:cstheme="minorHAnsi"/>
        </w:rPr>
        <w:t xml:space="preserve">University Hospital </w:t>
      </w:r>
      <w:r>
        <w:rPr>
          <w:rFonts w:cstheme="minorHAnsi"/>
        </w:rPr>
        <w:t>Birmingham</w:t>
      </w:r>
    </w:p>
    <w:p w14:paraId="6985A9BD" w14:textId="0BF04002" w:rsidR="00F347FE" w:rsidRDefault="00DE424C" w:rsidP="00F00B65">
      <w:pPr>
        <w:spacing w:after="0" w:line="276" w:lineRule="auto"/>
        <w:jc w:val="both"/>
        <w:rPr>
          <w:rFonts w:cstheme="minorHAnsi"/>
        </w:rPr>
      </w:pPr>
      <w:r>
        <w:rPr>
          <w:rFonts w:cstheme="minorHAnsi"/>
        </w:rPr>
        <w:t xml:space="preserve">Mr </w:t>
      </w:r>
      <w:r w:rsidR="00F347FE">
        <w:rPr>
          <w:rFonts w:cstheme="minorHAnsi"/>
        </w:rPr>
        <w:t>Alan Hancock, transplant recipient</w:t>
      </w:r>
    </w:p>
    <w:p w14:paraId="75E2D4CA" w14:textId="1AB12C5F" w:rsidR="00F347FE" w:rsidRPr="00D323D6" w:rsidRDefault="00DE424C" w:rsidP="00F00B65">
      <w:pPr>
        <w:spacing w:after="0" w:line="276" w:lineRule="auto"/>
        <w:jc w:val="both"/>
        <w:rPr>
          <w:rFonts w:cstheme="minorHAnsi"/>
        </w:rPr>
      </w:pPr>
      <w:r>
        <w:rPr>
          <w:rFonts w:cstheme="minorHAnsi"/>
        </w:rPr>
        <w:t xml:space="preserve">Mr </w:t>
      </w:r>
      <w:r w:rsidR="00F347FE">
        <w:rPr>
          <w:rFonts w:cstheme="minorHAnsi"/>
        </w:rPr>
        <w:t>Alan Jones, transplant recipient</w:t>
      </w:r>
    </w:p>
    <w:p w14:paraId="78588233" w14:textId="77777777" w:rsidR="00547CD0" w:rsidRDefault="00547CD0" w:rsidP="00F00B65">
      <w:pPr>
        <w:spacing w:after="0" w:line="276" w:lineRule="auto"/>
        <w:jc w:val="both"/>
      </w:pPr>
      <w:r>
        <w:rPr>
          <w:rFonts w:cstheme="minorHAnsi"/>
          <w:bCs/>
        </w:rPr>
        <w:t xml:space="preserve">Dr </w:t>
      </w:r>
      <w:r w:rsidRPr="00D323D6">
        <w:rPr>
          <w:rFonts w:cstheme="minorHAnsi"/>
          <w:bCs/>
        </w:rPr>
        <w:t>Antonia Cronin</w:t>
      </w:r>
      <w:r>
        <w:rPr>
          <w:rFonts w:cstheme="minorHAnsi"/>
          <w:bCs/>
        </w:rPr>
        <w:t xml:space="preserve">, </w:t>
      </w:r>
      <w:r>
        <w:t>Consultant Nephrologist, Guys and St Thomas’ NHS Foundation Trust</w:t>
      </w:r>
    </w:p>
    <w:p w14:paraId="2BE5DD4D" w14:textId="76DA2FD3" w:rsidR="00547CD0" w:rsidRPr="00D323D6" w:rsidRDefault="00DE424C" w:rsidP="00F00B65">
      <w:pPr>
        <w:spacing w:after="0" w:line="276" w:lineRule="auto"/>
        <w:jc w:val="both"/>
        <w:rPr>
          <w:rFonts w:cstheme="minorHAnsi"/>
          <w:bCs/>
        </w:rPr>
      </w:pPr>
      <w:r>
        <w:rPr>
          <w:rFonts w:cstheme="minorHAnsi"/>
          <w:bCs/>
        </w:rPr>
        <w:t xml:space="preserve">Mr </w:t>
      </w:r>
      <w:r w:rsidR="00547CD0" w:rsidRPr="00D323D6">
        <w:rPr>
          <w:rFonts w:cstheme="minorHAnsi"/>
          <w:bCs/>
        </w:rPr>
        <w:t>Andrew Barnett</w:t>
      </w:r>
      <w:r w:rsidR="00B7631B">
        <w:rPr>
          <w:rFonts w:cstheme="minorHAnsi"/>
          <w:bCs/>
        </w:rPr>
        <w:t>, Renal Social Worker</w:t>
      </w:r>
    </w:p>
    <w:p w14:paraId="2C67A9F7" w14:textId="11D06549" w:rsidR="00547CD0" w:rsidRPr="00D323D6" w:rsidRDefault="00B462AD" w:rsidP="00F00B65">
      <w:pPr>
        <w:spacing w:after="0" w:line="276" w:lineRule="auto"/>
        <w:jc w:val="both"/>
        <w:rPr>
          <w:rFonts w:cstheme="minorHAnsi"/>
        </w:rPr>
      </w:pPr>
      <w:r>
        <w:rPr>
          <w:rFonts w:cstheme="minorHAnsi"/>
        </w:rPr>
        <w:t xml:space="preserve">Ms </w:t>
      </w:r>
      <w:r w:rsidR="00547CD0" w:rsidRPr="00D323D6">
        <w:rPr>
          <w:rFonts w:cstheme="minorHAnsi"/>
        </w:rPr>
        <w:t>Amanda Bevin</w:t>
      </w:r>
      <w:r w:rsidR="00B7631B">
        <w:rPr>
          <w:rFonts w:cstheme="minorHAnsi"/>
        </w:rPr>
        <w:t>, Renal Counsellor, East Kent Hospitals University HNS Foundation Trust</w:t>
      </w:r>
    </w:p>
    <w:p w14:paraId="1FF03E27" w14:textId="59E3AB6E" w:rsidR="00547CD0" w:rsidRPr="00D323D6" w:rsidRDefault="00B462AD" w:rsidP="00F00B65">
      <w:pPr>
        <w:spacing w:after="0" w:line="276" w:lineRule="auto"/>
        <w:jc w:val="both"/>
        <w:rPr>
          <w:rFonts w:cstheme="minorHAnsi"/>
        </w:rPr>
      </w:pPr>
      <w:r>
        <w:rPr>
          <w:rFonts w:cstheme="minorHAnsi"/>
        </w:rPr>
        <w:t xml:space="preserve">Mr </w:t>
      </w:r>
      <w:r w:rsidR="00547CD0" w:rsidRPr="00D323D6">
        <w:rPr>
          <w:rFonts w:cstheme="minorHAnsi"/>
        </w:rPr>
        <w:t>Bruno Mafrici</w:t>
      </w:r>
      <w:r w:rsidR="00B7631B">
        <w:rPr>
          <w:rFonts w:cstheme="minorHAnsi"/>
        </w:rPr>
        <w:t>, Renal Dietician, Nottingham University Hospitals NHS Trust</w:t>
      </w:r>
    </w:p>
    <w:p w14:paraId="5E8D1457" w14:textId="26B84091" w:rsidR="00547CD0" w:rsidRPr="00D323D6" w:rsidRDefault="00547CD0" w:rsidP="00F00B65">
      <w:pPr>
        <w:spacing w:after="0" w:line="276" w:lineRule="auto"/>
        <w:jc w:val="both"/>
        <w:rPr>
          <w:rFonts w:cstheme="minorHAnsi"/>
          <w:bCs/>
        </w:rPr>
      </w:pPr>
      <w:r>
        <w:rPr>
          <w:rFonts w:cstheme="minorHAnsi"/>
          <w:bCs/>
        </w:rPr>
        <w:t xml:space="preserve">Dr </w:t>
      </w:r>
      <w:r w:rsidRPr="00D323D6">
        <w:rPr>
          <w:rFonts w:cstheme="minorHAnsi"/>
          <w:bCs/>
        </w:rPr>
        <w:t>Caroline Dudreuilh</w:t>
      </w:r>
      <w:r>
        <w:rPr>
          <w:rFonts w:cstheme="minorHAnsi"/>
          <w:bCs/>
        </w:rPr>
        <w:t xml:space="preserve">, </w:t>
      </w:r>
      <w:r>
        <w:t>Consultant Nephrologist, Guys and St Thomas’ NHS Foundation Trust</w:t>
      </w:r>
      <w:r>
        <w:rPr>
          <w:rFonts w:cstheme="minorHAnsi"/>
          <w:bCs/>
        </w:rPr>
        <w:t xml:space="preserve"> </w:t>
      </w:r>
    </w:p>
    <w:p w14:paraId="655233F5" w14:textId="7AE60FAD" w:rsidR="00547CD0" w:rsidRPr="00D323D6" w:rsidRDefault="00E87848" w:rsidP="00F00B65">
      <w:pPr>
        <w:spacing w:after="0" w:line="276" w:lineRule="auto"/>
        <w:jc w:val="both"/>
        <w:rPr>
          <w:rFonts w:cstheme="minorHAnsi"/>
        </w:rPr>
      </w:pPr>
      <w:r>
        <w:rPr>
          <w:rFonts w:cstheme="minorHAnsi"/>
        </w:rPr>
        <w:t xml:space="preserve">Dr </w:t>
      </w:r>
      <w:r w:rsidR="00547CD0" w:rsidRPr="00D323D6">
        <w:rPr>
          <w:rFonts w:cstheme="minorHAnsi"/>
        </w:rPr>
        <w:t>Charlotte Seneschall</w:t>
      </w:r>
      <w:r w:rsidR="002E2C9A">
        <w:rPr>
          <w:rFonts w:cstheme="minorHAnsi"/>
        </w:rPr>
        <w:t>, Specialty Trainee, Imperial College London</w:t>
      </w:r>
    </w:p>
    <w:p w14:paraId="015762B1" w14:textId="0BC1C4C3" w:rsidR="00547CD0" w:rsidRPr="00D323D6" w:rsidRDefault="00F347FE" w:rsidP="00F00B65">
      <w:pPr>
        <w:spacing w:after="0" w:line="276" w:lineRule="auto"/>
        <w:jc w:val="both"/>
        <w:rPr>
          <w:rFonts w:cstheme="minorHAnsi"/>
          <w:bCs/>
        </w:rPr>
      </w:pPr>
      <w:r>
        <w:rPr>
          <w:rFonts w:cstheme="minorHAnsi"/>
          <w:bCs/>
        </w:rPr>
        <w:lastRenderedPageBreak/>
        <w:t xml:space="preserve">Dr </w:t>
      </w:r>
      <w:r w:rsidR="00547CD0" w:rsidRPr="00D323D6">
        <w:rPr>
          <w:rFonts w:cstheme="minorHAnsi"/>
          <w:bCs/>
        </w:rPr>
        <w:t>Clare McKeaveney</w:t>
      </w:r>
      <w:r w:rsidR="00B7631B">
        <w:rPr>
          <w:rFonts w:cstheme="minorHAnsi"/>
          <w:bCs/>
        </w:rPr>
        <w:t>, Psychologist, Queen’s University, Belfast</w:t>
      </w:r>
    </w:p>
    <w:p w14:paraId="00E1B95C" w14:textId="77777777" w:rsidR="008E49F7" w:rsidRPr="00D323D6" w:rsidRDefault="00547CD0" w:rsidP="00F00B65">
      <w:pPr>
        <w:spacing w:after="0" w:line="276" w:lineRule="auto"/>
        <w:jc w:val="both"/>
        <w:rPr>
          <w:rFonts w:cstheme="minorHAnsi"/>
        </w:rPr>
      </w:pPr>
      <w:r>
        <w:rPr>
          <w:rFonts w:cstheme="minorHAnsi"/>
        </w:rPr>
        <w:t xml:space="preserve">Mr </w:t>
      </w:r>
      <w:r w:rsidRPr="00D323D6">
        <w:rPr>
          <w:rFonts w:cstheme="minorHAnsi"/>
        </w:rPr>
        <w:t>Dominic Summers</w:t>
      </w:r>
      <w:r>
        <w:rPr>
          <w:rFonts w:cstheme="minorHAnsi"/>
        </w:rPr>
        <w:t xml:space="preserve">, Consultant Transplant Surgeon, </w:t>
      </w:r>
      <w:r w:rsidR="008E49F7">
        <w:rPr>
          <w:rFonts w:cstheme="minorHAnsi"/>
        </w:rPr>
        <w:t>Cambridge University Hospitals NHS Foundation Trust</w:t>
      </w:r>
    </w:p>
    <w:p w14:paraId="77CCA219" w14:textId="333FB182" w:rsidR="00547CD0" w:rsidRPr="00D323D6" w:rsidRDefault="00547CD0" w:rsidP="00F00B65">
      <w:pPr>
        <w:spacing w:after="0" w:line="276" w:lineRule="auto"/>
        <w:jc w:val="both"/>
        <w:rPr>
          <w:rFonts w:cstheme="minorHAnsi"/>
          <w:bCs/>
        </w:rPr>
      </w:pPr>
      <w:r>
        <w:rPr>
          <w:rFonts w:cstheme="minorHAnsi"/>
          <w:bCs/>
        </w:rPr>
        <w:t xml:space="preserve">Dr </w:t>
      </w:r>
      <w:r w:rsidRPr="00D323D6">
        <w:rPr>
          <w:rFonts w:cstheme="minorHAnsi"/>
          <w:bCs/>
        </w:rPr>
        <w:t>Gayathri Rajakaruna</w:t>
      </w:r>
      <w:r w:rsidR="00212CBC">
        <w:rPr>
          <w:rFonts w:cstheme="minorHAnsi"/>
          <w:bCs/>
        </w:rPr>
        <w:t>, Consultant Nephrologist, East and North Hertfordshire NHS Trust</w:t>
      </w:r>
    </w:p>
    <w:p w14:paraId="00739997" w14:textId="4F9D5247" w:rsidR="00547CD0" w:rsidRPr="00D323D6" w:rsidRDefault="00547CD0" w:rsidP="00F00B65">
      <w:pPr>
        <w:spacing w:after="0" w:line="276" w:lineRule="auto"/>
        <w:jc w:val="both"/>
        <w:rPr>
          <w:rFonts w:cstheme="minorHAnsi"/>
          <w:bCs/>
        </w:rPr>
      </w:pPr>
      <w:r>
        <w:rPr>
          <w:rFonts w:cstheme="minorHAnsi"/>
          <w:bCs/>
        </w:rPr>
        <w:t xml:space="preserve">Dr </w:t>
      </w:r>
      <w:r w:rsidRPr="00D323D6">
        <w:rPr>
          <w:rFonts w:cstheme="minorHAnsi"/>
          <w:bCs/>
        </w:rPr>
        <w:t>Gwendolyn Eich</w:t>
      </w:r>
      <w:r w:rsidR="00212CBC">
        <w:rPr>
          <w:rFonts w:cstheme="minorHAnsi"/>
          <w:bCs/>
        </w:rPr>
        <w:t>, Specialty Trainee, Great Ormond Street Hospital</w:t>
      </w:r>
    </w:p>
    <w:p w14:paraId="6DD7D6BF" w14:textId="40A8C09B" w:rsidR="00547CD0" w:rsidRPr="00D323D6" w:rsidRDefault="000F168E" w:rsidP="00F00B65">
      <w:pPr>
        <w:spacing w:after="0" w:line="276" w:lineRule="auto"/>
        <w:jc w:val="both"/>
        <w:rPr>
          <w:rFonts w:cstheme="minorHAnsi"/>
          <w:bCs/>
        </w:rPr>
      </w:pPr>
      <w:r>
        <w:rPr>
          <w:rFonts w:cstheme="minorHAnsi"/>
          <w:bCs/>
        </w:rPr>
        <w:t xml:space="preserve">Dr </w:t>
      </w:r>
      <w:r w:rsidR="00547CD0" w:rsidRPr="00D323D6">
        <w:rPr>
          <w:rFonts w:cstheme="minorHAnsi"/>
          <w:bCs/>
        </w:rPr>
        <w:t>Hannah Burton</w:t>
      </w:r>
      <w:r w:rsidR="00212CBC">
        <w:rPr>
          <w:rFonts w:cstheme="minorHAnsi"/>
          <w:bCs/>
        </w:rPr>
        <w:t>, Specialty Trainee, King’s College London</w:t>
      </w:r>
    </w:p>
    <w:p w14:paraId="0C5653A1" w14:textId="727BBEDA" w:rsidR="00547CD0" w:rsidRPr="00D323D6" w:rsidRDefault="00B462AD" w:rsidP="00F00B65">
      <w:pPr>
        <w:spacing w:after="0" w:line="276" w:lineRule="auto"/>
        <w:jc w:val="both"/>
        <w:rPr>
          <w:rFonts w:cstheme="minorHAnsi"/>
          <w:bCs/>
        </w:rPr>
      </w:pPr>
      <w:r>
        <w:rPr>
          <w:rFonts w:cstheme="minorHAnsi"/>
          <w:bCs/>
        </w:rPr>
        <w:t xml:space="preserve">Ms </w:t>
      </w:r>
      <w:r w:rsidR="00547CD0" w:rsidRPr="00D323D6">
        <w:rPr>
          <w:rFonts w:cstheme="minorHAnsi"/>
          <w:bCs/>
        </w:rPr>
        <w:t>Hayley Wells</w:t>
      </w:r>
      <w:r w:rsidR="000F168E">
        <w:rPr>
          <w:rFonts w:cstheme="minorHAnsi"/>
          <w:bCs/>
        </w:rPr>
        <w:t>, Renal Pharmacist</w:t>
      </w:r>
      <w:r w:rsidR="00B7631B">
        <w:rPr>
          <w:rFonts w:cstheme="minorHAnsi"/>
          <w:bCs/>
        </w:rPr>
        <w:t xml:space="preserve">, </w:t>
      </w:r>
      <w:r w:rsidR="00B7631B">
        <w:t>Guys and St Thomas’ NHS Foundation Trust</w:t>
      </w:r>
    </w:p>
    <w:p w14:paraId="66D2F844" w14:textId="382DEE3E" w:rsidR="00547CD0" w:rsidRPr="00D323D6" w:rsidRDefault="000F168E" w:rsidP="00F00B65">
      <w:pPr>
        <w:spacing w:after="0" w:line="276" w:lineRule="auto"/>
        <w:jc w:val="both"/>
        <w:rPr>
          <w:rFonts w:cstheme="minorHAnsi"/>
          <w:bCs/>
        </w:rPr>
      </w:pPr>
      <w:r>
        <w:rPr>
          <w:rFonts w:cstheme="minorHAnsi"/>
          <w:bCs/>
        </w:rPr>
        <w:t xml:space="preserve">Dr </w:t>
      </w:r>
      <w:r w:rsidR="00547CD0" w:rsidRPr="00D323D6">
        <w:rPr>
          <w:rFonts w:cstheme="minorHAnsi"/>
          <w:bCs/>
        </w:rPr>
        <w:t>Jelena Stojanovic</w:t>
      </w:r>
      <w:r>
        <w:rPr>
          <w:rFonts w:cstheme="minorHAnsi"/>
          <w:bCs/>
        </w:rPr>
        <w:t>, Consultant Paediatric Nephrologist, Great Ormond Street Hospital</w:t>
      </w:r>
    </w:p>
    <w:p w14:paraId="468B2C0F" w14:textId="1331EE23" w:rsidR="00547CD0" w:rsidRPr="00D323D6" w:rsidRDefault="000F168E" w:rsidP="00F00B65">
      <w:pPr>
        <w:spacing w:after="0" w:line="276" w:lineRule="auto"/>
        <w:jc w:val="both"/>
        <w:rPr>
          <w:rFonts w:cstheme="minorHAnsi"/>
        </w:rPr>
      </w:pPr>
      <w:r>
        <w:rPr>
          <w:rFonts w:cstheme="minorHAnsi"/>
        </w:rPr>
        <w:t xml:space="preserve">Dr </w:t>
      </w:r>
      <w:r w:rsidR="00547CD0" w:rsidRPr="00D323D6">
        <w:rPr>
          <w:rFonts w:cstheme="minorHAnsi"/>
        </w:rPr>
        <w:t>Joyce Popoola</w:t>
      </w:r>
      <w:r>
        <w:rPr>
          <w:rFonts w:cstheme="minorHAnsi"/>
        </w:rPr>
        <w:t>, Consultant Nephrologist, St George’s</w:t>
      </w:r>
      <w:r w:rsidR="008E49F7">
        <w:rPr>
          <w:rFonts w:cstheme="minorHAnsi"/>
        </w:rPr>
        <w:t xml:space="preserve"> University Hospitals NHs Foundation Trust</w:t>
      </w:r>
    </w:p>
    <w:p w14:paraId="64260FBE" w14:textId="2F3EFEE1" w:rsidR="00547CD0" w:rsidRPr="00D323D6" w:rsidRDefault="000F168E" w:rsidP="00F00B65">
      <w:pPr>
        <w:spacing w:after="0" w:line="276" w:lineRule="auto"/>
        <w:jc w:val="both"/>
        <w:rPr>
          <w:rFonts w:cstheme="minorHAnsi"/>
        </w:rPr>
      </w:pPr>
      <w:r>
        <w:rPr>
          <w:rFonts w:cstheme="minorHAnsi"/>
        </w:rPr>
        <w:t xml:space="preserve">Dr </w:t>
      </w:r>
      <w:r w:rsidR="00547CD0" w:rsidRPr="00D323D6">
        <w:rPr>
          <w:rFonts w:cstheme="minorHAnsi"/>
        </w:rPr>
        <w:t>Konstantinos Koutroutsos</w:t>
      </w:r>
      <w:r w:rsidR="00B7631B">
        <w:rPr>
          <w:rFonts w:cstheme="minorHAnsi"/>
        </w:rPr>
        <w:t xml:space="preserve">, Consultant Nephrologist, </w:t>
      </w:r>
      <w:proofErr w:type="gramStart"/>
      <w:r w:rsidR="00B7631B">
        <w:rPr>
          <w:rFonts w:cstheme="minorHAnsi"/>
        </w:rPr>
        <w:t>Brighton</w:t>
      </w:r>
      <w:proofErr w:type="gramEnd"/>
      <w:r w:rsidR="00B7631B">
        <w:rPr>
          <w:rFonts w:cstheme="minorHAnsi"/>
        </w:rPr>
        <w:t xml:space="preserve"> and Sussex University Hospitals</w:t>
      </w:r>
    </w:p>
    <w:p w14:paraId="2336D320" w14:textId="3A93E91F" w:rsidR="00547CD0" w:rsidRDefault="00212CBC" w:rsidP="00F00B65">
      <w:pPr>
        <w:spacing w:after="0" w:line="276" w:lineRule="auto"/>
        <w:jc w:val="both"/>
        <w:rPr>
          <w:rFonts w:cstheme="minorHAnsi"/>
        </w:rPr>
      </w:pPr>
      <w:r>
        <w:rPr>
          <w:rFonts w:cstheme="minorHAnsi"/>
        </w:rPr>
        <w:t xml:space="preserve">Dr </w:t>
      </w:r>
      <w:r w:rsidR="00547CD0" w:rsidRPr="00D323D6">
        <w:rPr>
          <w:rFonts w:cstheme="minorHAnsi"/>
        </w:rPr>
        <w:t>Lina Johansson</w:t>
      </w:r>
      <w:r w:rsidR="000F168E">
        <w:rPr>
          <w:rFonts w:cstheme="minorHAnsi"/>
        </w:rPr>
        <w:t>, Renal Dietician</w:t>
      </w:r>
      <w:r>
        <w:rPr>
          <w:rFonts w:cstheme="minorHAnsi"/>
        </w:rPr>
        <w:t>, Imperial College London</w:t>
      </w:r>
    </w:p>
    <w:p w14:paraId="57631FAE" w14:textId="5EE22AC0" w:rsidR="00DE424C" w:rsidRPr="00D323D6" w:rsidRDefault="00DE424C" w:rsidP="00F00B65">
      <w:pPr>
        <w:spacing w:after="0" w:line="276" w:lineRule="auto"/>
        <w:jc w:val="both"/>
        <w:rPr>
          <w:rFonts w:cstheme="minorHAnsi"/>
        </w:rPr>
      </w:pPr>
      <w:r>
        <w:rPr>
          <w:rFonts w:cstheme="minorHAnsi"/>
        </w:rPr>
        <w:t>Dr Maria Martinez, Renal Pharmacist, University Hospitals of Leicester NHS Trust</w:t>
      </w:r>
    </w:p>
    <w:p w14:paraId="1B7C470B" w14:textId="72271558" w:rsidR="00547CD0" w:rsidRPr="00D323D6" w:rsidRDefault="00F347FE" w:rsidP="00F00B65">
      <w:pPr>
        <w:spacing w:after="0" w:line="276" w:lineRule="auto"/>
        <w:jc w:val="both"/>
        <w:rPr>
          <w:rFonts w:cstheme="minorHAnsi"/>
          <w:bCs/>
        </w:rPr>
      </w:pPr>
      <w:r>
        <w:rPr>
          <w:rFonts w:cstheme="minorHAnsi"/>
          <w:bCs/>
        </w:rPr>
        <w:t xml:space="preserve">Dr </w:t>
      </w:r>
      <w:r w:rsidR="00547CD0" w:rsidRPr="00D323D6">
        <w:rPr>
          <w:rFonts w:cstheme="minorHAnsi"/>
          <w:bCs/>
        </w:rPr>
        <w:t>Matt Gittens</w:t>
      </w:r>
      <w:r w:rsidR="00B7631B">
        <w:rPr>
          <w:rFonts w:cstheme="minorHAnsi"/>
          <w:bCs/>
        </w:rPr>
        <w:t>, Specialty trainee, Sheffield</w:t>
      </w:r>
      <w:r w:rsidR="00DE424C">
        <w:rPr>
          <w:rFonts w:cstheme="minorHAnsi"/>
          <w:bCs/>
        </w:rPr>
        <w:t xml:space="preserve"> Teaching Hospital NHS Foundation Trust</w:t>
      </w:r>
    </w:p>
    <w:p w14:paraId="09BE34CF" w14:textId="2FA4C52B" w:rsidR="00547CD0" w:rsidRPr="00D323D6" w:rsidRDefault="00F347FE" w:rsidP="00F00B65">
      <w:pPr>
        <w:spacing w:after="0" w:line="276" w:lineRule="auto"/>
        <w:jc w:val="both"/>
        <w:rPr>
          <w:rFonts w:cstheme="minorHAnsi"/>
          <w:bCs/>
        </w:rPr>
      </w:pPr>
      <w:r>
        <w:rPr>
          <w:rFonts w:cstheme="minorHAnsi"/>
          <w:bCs/>
        </w:rPr>
        <w:t xml:space="preserve">Dr </w:t>
      </w:r>
      <w:r w:rsidR="00547CD0" w:rsidRPr="00D323D6">
        <w:rPr>
          <w:rFonts w:cstheme="minorHAnsi"/>
          <w:bCs/>
        </w:rPr>
        <w:t>Matthew Robb</w:t>
      </w:r>
      <w:r w:rsidR="008E49F7">
        <w:rPr>
          <w:rFonts w:cstheme="minorHAnsi"/>
          <w:bCs/>
        </w:rPr>
        <w:t xml:space="preserve">, Principal Statistician, NHS </w:t>
      </w:r>
      <w:proofErr w:type="gramStart"/>
      <w:r w:rsidR="008E49F7">
        <w:rPr>
          <w:rFonts w:cstheme="minorHAnsi"/>
          <w:bCs/>
        </w:rPr>
        <w:t>Blood</w:t>
      </w:r>
      <w:proofErr w:type="gramEnd"/>
      <w:r w:rsidR="008E49F7">
        <w:rPr>
          <w:rFonts w:cstheme="minorHAnsi"/>
          <w:bCs/>
        </w:rPr>
        <w:t xml:space="preserve"> and Transplant</w:t>
      </w:r>
    </w:p>
    <w:p w14:paraId="60FCAB6F" w14:textId="64B46EA7" w:rsidR="00547CD0" w:rsidRPr="00D323D6" w:rsidRDefault="00F347FE" w:rsidP="00F00B65">
      <w:pPr>
        <w:spacing w:after="0" w:line="276" w:lineRule="auto"/>
        <w:jc w:val="both"/>
        <w:rPr>
          <w:rFonts w:cstheme="minorHAnsi"/>
        </w:rPr>
      </w:pPr>
      <w:r>
        <w:rPr>
          <w:rFonts w:cstheme="minorHAnsi"/>
        </w:rPr>
        <w:t xml:space="preserve">Dr </w:t>
      </w:r>
      <w:r w:rsidR="00547CD0" w:rsidRPr="00D323D6">
        <w:rPr>
          <w:rFonts w:cstheme="minorHAnsi"/>
        </w:rPr>
        <w:t>Michelle Willicombe</w:t>
      </w:r>
      <w:r w:rsidR="00212CBC">
        <w:rPr>
          <w:rFonts w:cstheme="minorHAnsi"/>
        </w:rPr>
        <w:t>, Consultant Nephrologist, Imperial College London</w:t>
      </w:r>
    </w:p>
    <w:p w14:paraId="1E19C62B" w14:textId="473D127D" w:rsidR="00547CD0" w:rsidRDefault="000F168E" w:rsidP="00F00B65">
      <w:pPr>
        <w:spacing w:after="0" w:line="276" w:lineRule="auto"/>
        <w:jc w:val="both"/>
        <w:rPr>
          <w:rFonts w:cstheme="minorHAnsi"/>
          <w:bCs/>
        </w:rPr>
      </w:pPr>
      <w:r>
        <w:rPr>
          <w:rFonts w:cstheme="minorHAnsi"/>
          <w:bCs/>
        </w:rPr>
        <w:t xml:space="preserve">Dr </w:t>
      </w:r>
      <w:r w:rsidR="00547CD0" w:rsidRPr="00D323D6">
        <w:rPr>
          <w:rFonts w:cstheme="minorHAnsi"/>
          <w:bCs/>
        </w:rPr>
        <w:t>Mysore Phanish</w:t>
      </w:r>
      <w:r>
        <w:rPr>
          <w:rFonts w:cstheme="minorHAnsi"/>
          <w:bCs/>
        </w:rPr>
        <w:t xml:space="preserve">, Consultant Nephrologist, </w:t>
      </w:r>
      <w:proofErr w:type="gramStart"/>
      <w:r>
        <w:rPr>
          <w:rFonts w:cstheme="minorHAnsi"/>
          <w:bCs/>
        </w:rPr>
        <w:t>Epsom</w:t>
      </w:r>
      <w:proofErr w:type="gramEnd"/>
      <w:r>
        <w:rPr>
          <w:rFonts w:cstheme="minorHAnsi"/>
          <w:bCs/>
        </w:rPr>
        <w:t xml:space="preserve"> and St Helier University Hospitals NHS Trust</w:t>
      </w:r>
    </w:p>
    <w:p w14:paraId="0CFB2878" w14:textId="52560ADB" w:rsidR="00F347FE" w:rsidRPr="00D323D6" w:rsidRDefault="00B462AD" w:rsidP="00F00B65">
      <w:pPr>
        <w:spacing w:after="0" w:line="276" w:lineRule="auto"/>
        <w:jc w:val="both"/>
        <w:rPr>
          <w:rFonts w:cstheme="minorHAnsi"/>
          <w:bCs/>
        </w:rPr>
      </w:pPr>
      <w:r>
        <w:rPr>
          <w:rFonts w:cstheme="minorHAnsi"/>
          <w:bCs/>
        </w:rPr>
        <w:t xml:space="preserve">Mr </w:t>
      </w:r>
      <w:r w:rsidR="00F347FE">
        <w:rPr>
          <w:rFonts w:cstheme="minorHAnsi"/>
          <w:bCs/>
        </w:rPr>
        <w:t xml:space="preserve">Paul Maxted, </w:t>
      </w:r>
      <w:r w:rsidR="005652A4">
        <w:rPr>
          <w:rFonts w:cstheme="minorHAnsi"/>
          <w:bCs/>
        </w:rPr>
        <w:t>t</w:t>
      </w:r>
      <w:r w:rsidR="00F347FE">
        <w:rPr>
          <w:rFonts w:cstheme="minorHAnsi"/>
          <w:bCs/>
        </w:rPr>
        <w:t>ransplant recipient</w:t>
      </w:r>
    </w:p>
    <w:p w14:paraId="5DD42AEC" w14:textId="357E76F2" w:rsidR="00547CD0" w:rsidRPr="00D323D6" w:rsidRDefault="000F168E" w:rsidP="00F00B65">
      <w:pPr>
        <w:spacing w:after="0" w:line="276" w:lineRule="auto"/>
        <w:jc w:val="both"/>
        <w:rPr>
          <w:rFonts w:cstheme="minorHAnsi"/>
          <w:bCs/>
        </w:rPr>
      </w:pPr>
      <w:r>
        <w:rPr>
          <w:rFonts w:cstheme="minorHAnsi"/>
          <w:bCs/>
        </w:rPr>
        <w:t xml:space="preserve">Dr </w:t>
      </w:r>
      <w:r w:rsidR="00547CD0" w:rsidRPr="00D323D6">
        <w:rPr>
          <w:rFonts w:cstheme="minorHAnsi"/>
          <w:bCs/>
        </w:rPr>
        <w:t>Pippa Bailey</w:t>
      </w:r>
      <w:r>
        <w:rPr>
          <w:rFonts w:cstheme="minorHAnsi"/>
          <w:bCs/>
        </w:rPr>
        <w:t>,</w:t>
      </w:r>
      <w:r w:rsidR="00B462AD">
        <w:rPr>
          <w:rFonts w:cstheme="minorHAnsi"/>
          <w:bCs/>
        </w:rPr>
        <w:t xml:space="preserve"> Associate Professor, University of Bristol and Honorary</w:t>
      </w:r>
      <w:r>
        <w:rPr>
          <w:rFonts w:cstheme="minorHAnsi"/>
          <w:bCs/>
        </w:rPr>
        <w:t xml:space="preserve"> Consultant Nephrologist, </w:t>
      </w:r>
      <w:r w:rsidR="00B462AD">
        <w:rPr>
          <w:rFonts w:cstheme="minorHAnsi"/>
          <w:bCs/>
        </w:rPr>
        <w:t xml:space="preserve">Southmead Hospital, </w:t>
      </w:r>
      <w:r>
        <w:rPr>
          <w:rFonts w:cstheme="minorHAnsi"/>
          <w:bCs/>
        </w:rPr>
        <w:t>Bristol</w:t>
      </w:r>
    </w:p>
    <w:p w14:paraId="2F7F8EA1" w14:textId="219D8258" w:rsidR="00547CD0" w:rsidRPr="00D323D6" w:rsidRDefault="000F168E" w:rsidP="00F00B65">
      <w:pPr>
        <w:spacing w:after="0" w:line="276" w:lineRule="auto"/>
        <w:jc w:val="both"/>
        <w:rPr>
          <w:rFonts w:cstheme="minorHAnsi"/>
        </w:rPr>
      </w:pPr>
      <w:r>
        <w:rPr>
          <w:rFonts w:cstheme="minorHAnsi"/>
        </w:rPr>
        <w:t xml:space="preserve">Dr </w:t>
      </w:r>
      <w:r w:rsidR="00547CD0" w:rsidRPr="00D323D6">
        <w:rPr>
          <w:rFonts w:cstheme="minorHAnsi"/>
        </w:rPr>
        <w:t>Rachel Davison</w:t>
      </w:r>
      <w:r>
        <w:rPr>
          <w:rFonts w:cstheme="minorHAnsi"/>
        </w:rPr>
        <w:t>, Consultant Nephrologist, Newcastle</w:t>
      </w:r>
      <w:r w:rsidR="008E49F7">
        <w:rPr>
          <w:rFonts w:cstheme="minorHAnsi"/>
        </w:rPr>
        <w:t xml:space="preserve"> upon Tyne Hospitals NHS Foundation Trust</w:t>
      </w:r>
    </w:p>
    <w:p w14:paraId="4B8F89BC" w14:textId="346C5C01" w:rsidR="00547CD0" w:rsidRPr="00D323D6" w:rsidRDefault="000F168E" w:rsidP="00F00B65">
      <w:pPr>
        <w:spacing w:after="0" w:line="276" w:lineRule="auto"/>
        <w:jc w:val="both"/>
        <w:rPr>
          <w:rFonts w:cstheme="minorHAnsi"/>
        </w:rPr>
      </w:pPr>
      <w:r>
        <w:rPr>
          <w:rFonts w:cstheme="minorHAnsi"/>
        </w:rPr>
        <w:t xml:space="preserve">Dr </w:t>
      </w:r>
      <w:r w:rsidR="00547CD0" w:rsidRPr="00D323D6">
        <w:rPr>
          <w:rFonts w:cstheme="minorHAnsi"/>
        </w:rPr>
        <w:t>Rachel Hilton</w:t>
      </w:r>
      <w:r>
        <w:rPr>
          <w:rFonts w:cstheme="minorHAnsi"/>
        </w:rPr>
        <w:t xml:space="preserve">, Consultant Nephrologist, </w:t>
      </w:r>
      <w:r>
        <w:t>Guys and St Thomas’ NHS Foundation Trust</w:t>
      </w:r>
    </w:p>
    <w:p w14:paraId="5CA3C391" w14:textId="70C462BD" w:rsidR="00547CD0" w:rsidRDefault="000F168E" w:rsidP="00F00B65">
      <w:pPr>
        <w:spacing w:after="0" w:line="276" w:lineRule="auto"/>
        <w:jc w:val="both"/>
        <w:rPr>
          <w:rFonts w:cstheme="minorHAnsi"/>
        </w:rPr>
      </w:pPr>
      <w:r>
        <w:rPr>
          <w:rFonts w:cstheme="minorHAnsi"/>
        </w:rPr>
        <w:t xml:space="preserve">Dr </w:t>
      </w:r>
      <w:r w:rsidR="00547CD0" w:rsidRPr="00D323D6">
        <w:rPr>
          <w:rFonts w:cstheme="minorHAnsi"/>
        </w:rPr>
        <w:t>Richard Baker</w:t>
      </w:r>
      <w:r>
        <w:rPr>
          <w:rFonts w:cstheme="minorHAnsi"/>
        </w:rPr>
        <w:t>, Consultant Nephrologist, St James’s University Hospital, Leeds</w:t>
      </w:r>
    </w:p>
    <w:p w14:paraId="390CD7E2" w14:textId="40ECDBD2" w:rsidR="008E49F7" w:rsidRPr="00D323D6" w:rsidRDefault="008E49F7" w:rsidP="00F00B65">
      <w:pPr>
        <w:spacing w:after="0" w:line="276" w:lineRule="auto"/>
        <w:jc w:val="both"/>
        <w:rPr>
          <w:rFonts w:cstheme="minorHAnsi"/>
        </w:rPr>
      </w:pPr>
      <w:r>
        <w:rPr>
          <w:rFonts w:cstheme="minorHAnsi"/>
        </w:rPr>
        <w:t xml:space="preserve">Dr Rosa Montero, </w:t>
      </w:r>
      <w:r w:rsidR="00DE424C">
        <w:rPr>
          <w:rFonts w:cstheme="minorHAnsi"/>
        </w:rPr>
        <w:t>Royal Berkshire NHS Foundation Trust</w:t>
      </w:r>
    </w:p>
    <w:p w14:paraId="11927C74" w14:textId="395AF19A" w:rsidR="00547CD0" w:rsidRPr="00D323D6" w:rsidRDefault="000F168E" w:rsidP="00F00B65">
      <w:pPr>
        <w:spacing w:after="0" w:line="276" w:lineRule="auto"/>
        <w:jc w:val="both"/>
        <w:rPr>
          <w:rFonts w:cstheme="minorHAnsi"/>
        </w:rPr>
      </w:pPr>
      <w:r>
        <w:rPr>
          <w:rFonts w:cstheme="minorHAnsi"/>
        </w:rPr>
        <w:t xml:space="preserve">Dr </w:t>
      </w:r>
      <w:r w:rsidR="00547CD0" w:rsidRPr="00D323D6">
        <w:rPr>
          <w:rFonts w:cstheme="minorHAnsi"/>
        </w:rPr>
        <w:t>Sarah Peacock</w:t>
      </w:r>
      <w:r>
        <w:rPr>
          <w:rFonts w:cstheme="minorHAnsi"/>
        </w:rPr>
        <w:t xml:space="preserve">, </w:t>
      </w:r>
      <w:r w:rsidR="008E49F7">
        <w:rPr>
          <w:rFonts w:cstheme="minorHAnsi"/>
        </w:rPr>
        <w:t>Director of Histocompatibility and Immunogenetics, Cambridge University Hospitals NHS Foundation Trust</w:t>
      </w:r>
    </w:p>
    <w:p w14:paraId="3BBD1B66" w14:textId="356B7615" w:rsidR="00547CD0" w:rsidRPr="00D323D6" w:rsidRDefault="00B462AD" w:rsidP="00F00B65">
      <w:pPr>
        <w:spacing w:after="0" w:line="276" w:lineRule="auto"/>
        <w:jc w:val="both"/>
        <w:rPr>
          <w:rFonts w:cstheme="minorHAnsi"/>
          <w:bCs/>
        </w:rPr>
      </w:pPr>
      <w:r>
        <w:rPr>
          <w:rFonts w:cstheme="minorHAnsi"/>
          <w:bCs/>
        </w:rPr>
        <w:t xml:space="preserve">Ms </w:t>
      </w:r>
      <w:r w:rsidR="00547CD0" w:rsidRPr="00D323D6">
        <w:rPr>
          <w:rFonts w:cstheme="minorHAnsi"/>
          <w:bCs/>
        </w:rPr>
        <w:t>Sharon Frame</w:t>
      </w:r>
      <w:r w:rsidR="000F168E">
        <w:rPr>
          <w:rFonts w:cstheme="minorHAnsi"/>
          <w:bCs/>
        </w:rPr>
        <w:t>, Advanced Nurse Practitioner</w:t>
      </w:r>
      <w:r w:rsidR="008E49F7">
        <w:rPr>
          <w:rFonts w:cstheme="minorHAnsi"/>
          <w:bCs/>
        </w:rPr>
        <w:t xml:space="preserve">, </w:t>
      </w:r>
      <w:r w:rsidR="008E49F7">
        <w:t>Guys and St Thomas’ NHS Foundation Trust</w:t>
      </w:r>
    </w:p>
    <w:p w14:paraId="60D0E6CD" w14:textId="5555B830" w:rsidR="00547CD0" w:rsidRPr="00D323D6" w:rsidRDefault="000F168E" w:rsidP="00F00B65">
      <w:pPr>
        <w:spacing w:after="0" w:line="276" w:lineRule="auto"/>
        <w:jc w:val="both"/>
        <w:rPr>
          <w:rFonts w:cstheme="minorHAnsi"/>
          <w:bCs/>
        </w:rPr>
      </w:pPr>
      <w:r>
        <w:rPr>
          <w:rFonts w:cstheme="minorHAnsi"/>
          <w:bCs/>
        </w:rPr>
        <w:t xml:space="preserve">Dr </w:t>
      </w:r>
      <w:r w:rsidR="00547CD0" w:rsidRPr="00D323D6">
        <w:rPr>
          <w:rFonts w:cstheme="minorHAnsi"/>
          <w:bCs/>
        </w:rPr>
        <w:t>Sumoyee Basu</w:t>
      </w:r>
      <w:r>
        <w:rPr>
          <w:rFonts w:cstheme="minorHAnsi"/>
          <w:bCs/>
        </w:rPr>
        <w:t xml:space="preserve">, Specialty Trainee, </w:t>
      </w:r>
      <w:r>
        <w:t>Guys and St Thomas’ NHS Foundation Trust</w:t>
      </w:r>
    </w:p>
    <w:p w14:paraId="49334301" w14:textId="3E662E35" w:rsidR="00547CD0" w:rsidRPr="00D323D6" w:rsidRDefault="00DE424C" w:rsidP="00F00B65">
      <w:pPr>
        <w:spacing w:after="0" w:line="276" w:lineRule="auto"/>
        <w:jc w:val="both"/>
        <w:rPr>
          <w:rFonts w:cstheme="minorHAnsi"/>
          <w:bCs/>
        </w:rPr>
      </w:pPr>
      <w:r>
        <w:rPr>
          <w:rFonts w:cstheme="minorHAnsi"/>
          <w:bCs/>
        </w:rPr>
        <w:t xml:space="preserve">Dr </w:t>
      </w:r>
      <w:r w:rsidR="00547CD0" w:rsidRPr="00D323D6">
        <w:rPr>
          <w:rFonts w:cstheme="minorHAnsi"/>
          <w:bCs/>
        </w:rPr>
        <w:t>Suzanne Whitehead</w:t>
      </w:r>
      <w:r w:rsidR="000F168E">
        <w:rPr>
          <w:rFonts w:cstheme="minorHAnsi"/>
          <w:bCs/>
        </w:rPr>
        <w:t>, Renal Psychologist</w:t>
      </w:r>
      <w:r>
        <w:rPr>
          <w:rFonts w:cstheme="minorHAnsi"/>
          <w:bCs/>
        </w:rPr>
        <w:t>, North Bristol NHS Trust</w:t>
      </w:r>
    </w:p>
    <w:p w14:paraId="4E9E52DB" w14:textId="556C7C21" w:rsidR="00547CD0" w:rsidRDefault="000F168E" w:rsidP="00F00B65">
      <w:pPr>
        <w:spacing w:after="0" w:line="276" w:lineRule="auto"/>
        <w:jc w:val="both"/>
        <w:rPr>
          <w:rFonts w:cstheme="minorHAnsi"/>
          <w:bCs/>
        </w:rPr>
      </w:pPr>
      <w:r>
        <w:rPr>
          <w:rFonts w:cstheme="minorHAnsi"/>
          <w:bCs/>
        </w:rPr>
        <w:t xml:space="preserve">Dr </w:t>
      </w:r>
      <w:r w:rsidR="00547CD0" w:rsidRPr="00D323D6">
        <w:rPr>
          <w:rFonts w:cstheme="minorHAnsi"/>
          <w:bCs/>
        </w:rPr>
        <w:t>Tina Thomson</w:t>
      </w:r>
      <w:r w:rsidR="00212CBC">
        <w:rPr>
          <w:rFonts w:cstheme="minorHAnsi"/>
          <w:bCs/>
        </w:rPr>
        <w:t>, Specialty Trainee, Imperial College London</w:t>
      </w:r>
    </w:p>
    <w:p w14:paraId="3DE2E311" w14:textId="7C9CA0E9" w:rsidR="002F47B2" w:rsidRPr="00D323D6" w:rsidRDefault="002F47B2" w:rsidP="00F00B65">
      <w:pPr>
        <w:spacing w:line="276" w:lineRule="auto"/>
        <w:jc w:val="both"/>
        <w:rPr>
          <w:rFonts w:cstheme="minorHAnsi"/>
          <w:bCs/>
        </w:rPr>
      </w:pPr>
      <w:r>
        <w:rPr>
          <w:rFonts w:cstheme="minorHAnsi"/>
          <w:bCs/>
        </w:rPr>
        <w:t>Dr Zainab Arslan, Consultant Paediatric Nephrologist, Great Ormond Street Hospital</w:t>
      </w:r>
    </w:p>
    <w:p w14:paraId="18DB8AEC" w14:textId="469ED4CA" w:rsidR="008F47F2" w:rsidRDefault="008F47F2" w:rsidP="006611E8">
      <w:pPr>
        <w:pStyle w:val="Heading2"/>
        <w:spacing w:before="0" w:after="160" w:line="276" w:lineRule="auto"/>
      </w:pPr>
      <w:bookmarkStart w:id="6" w:name="_Toc128329915"/>
      <w:r>
        <w:t>Conflicts of interest</w:t>
      </w:r>
      <w:bookmarkEnd w:id="6"/>
    </w:p>
    <w:p w14:paraId="56561AAE" w14:textId="2071585C" w:rsidR="004366E6" w:rsidRPr="004366E6" w:rsidRDefault="00547CD0" w:rsidP="006611E8">
      <w:pPr>
        <w:spacing w:line="276" w:lineRule="auto"/>
        <w:rPr>
          <w:rFonts w:cstheme="minorHAnsi"/>
        </w:rPr>
      </w:pPr>
      <w:r>
        <w:rPr>
          <w:rFonts w:cstheme="minorHAnsi"/>
          <w:shd w:val="clear" w:color="auto" w:fill="FFFFFF"/>
        </w:rPr>
        <w:t>No conflicts of interest were declared</w:t>
      </w:r>
      <w:r w:rsidR="004366E6" w:rsidRPr="004366E6">
        <w:rPr>
          <w:rFonts w:cstheme="minorHAnsi"/>
          <w:shd w:val="clear" w:color="auto" w:fill="FFFFFF"/>
        </w:rPr>
        <w:t xml:space="preserve">. </w:t>
      </w:r>
    </w:p>
    <w:p w14:paraId="7D3DDCB1" w14:textId="77777777" w:rsidR="008F47F2" w:rsidRDefault="008F47F2" w:rsidP="006611E8">
      <w:pPr>
        <w:pStyle w:val="Heading2"/>
        <w:spacing w:before="0" w:after="160" w:line="276" w:lineRule="auto"/>
      </w:pPr>
      <w:bookmarkStart w:id="7" w:name="_Toc128329916"/>
      <w:r>
        <w:t>Grading of recommendations</w:t>
      </w:r>
      <w:bookmarkEnd w:id="7"/>
    </w:p>
    <w:p w14:paraId="32E6B451" w14:textId="481BCC02" w:rsidR="002939EE" w:rsidRDefault="002939EE" w:rsidP="006611E8">
      <w:pPr>
        <w:spacing w:line="276" w:lineRule="auto"/>
        <w:jc w:val="both"/>
      </w:pPr>
      <w:r>
        <w:t xml:space="preserve">These guidelines represent consensus opinion from clinical experts in the field of transplantation and patients in the United Kingdom. The Grading of Recommendations Assessment, Development and Evaluation (GRADE) system has been used to rate the strength of evidence and recommendations, consistent with other guidelines issued by the British Transplantation Society and other international, organisations. Explicit recommendations represent a balance </w:t>
      </w:r>
      <w:r w:rsidR="00C06BC5">
        <w:t xml:space="preserve">between benefits and risks, </w:t>
      </w:r>
      <w:r w:rsidR="00BC44BA">
        <w:t>burden,</w:t>
      </w:r>
      <w:r w:rsidR="00C06BC5">
        <w:t xml:space="preserve"> and cost. </w:t>
      </w:r>
    </w:p>
    <w:p w14:paraId="37B430B8" w14:textId="26655F80" w:rsidR="00C06BC5" w:rsidRDefault="00C06BC5" w:rsidP="006611E8">
      <w:pPr>
        <w:spacing w:line="276" w:lineRule="auto"/>
        <w:jc w:val="both"/>
      </w:pPr>
      <w:r>
        <w:t>The quality of evidence has been graded as:</w:t>
      </w:r>
    </w:p>
    <w:p w14:paraId="1A0D7A42" w14:textId="6A64A0FD" w:rsidR="003907A2" w:rsidRDefault="003907A2" w:rsidP="006611E8">
      <w:pPr>
        <w:tabs>
          <w:tab w:val="left" w:pos="709"/>
        </w:tabs>
        <w:spacing w:line="276" w:lineRule="auto"/>
        <w:jc w:val="both"/>
      </w:pPr>
      <w:r>
        <w:tab/>
        <w:t>A (high)</w:t>
      </w:r>
    </w:p>
    <w:p w14:paraId="3180F97B" w14:textId="1E0E3597" w:rsidR="003907A2" w:rsidRDefault="003907A2" w:rsidP="006611E8">
      <w:pPr>
        <w:tabs>
          <w:tab w:val="left" w:pos="709"/>
        </w:tabs>
        <w:spacing w:line="276" w:lineRule="auto"/>
        <w:jc w:val="both"/>
      </w:pPr>
      <w:r>
        <w:tab/>
        <w:t>B (moderate)</w:t>
      </w:r>
    </w:p>
    <w:p w14:paraId="222A9EED" w14:textId="7184AB45" w:rsidR="003907A2" w:rsidRDefault="003907A2" w:rsidP="006611E8">
      <w:pPr>
        <w:tabs>
          <w:tab w:val="left" w:pos="709"/>
        </w:tabs>
        <w:spacing w:line="276" w:lineRule="auto"/>
        <w:jc w:val="both"/>
      </w:pPr>
      <w:r>
        <w:tab/>
        <w:t>C (low)</w:t>
      </w:r>
    </w:p>
    <w:p w14:paraId="09AB6749" w14:textId="14BF3D49" w:rsidR="003907A2" w:rsidRDefault="003907A2" w:rsidP="006611E8">
      <w:pPr>
        <w:tabs>
          <w:tab w:val="left" w:pos="709"/>
        </w:tabs>
        <w:spacing w:line="276" w:lineRule="auto"/>
        <w:jc w:val="both"/>
      </w:pPr>
      <w:r>
        <w:lastRenderedPageBreak/>
        <w:tab/>
        <w:t>D (very low)</w:t>
      </w:r>
    </w:p>
    <w:p w14:paraId="3F53380A" w14:textId="5D3D1E76" w:rsidR="00C06BC5" w:rsidRDefault="00C06BC5" w:rsidP="006611E8">
      <w:pPr>
        <w:spacing w:line="276" w:lineRule="auto"/>
        <w:ind w:left="709" w:hanging="709"/>
        <w:jc w:val="both"/>
      </w:pPr>
      <w:proofErr w:type="gramStart"/>
      <w:r>
        <w:t xml:space="preserve">A </w:t>
      </w:r>
      <w:r w:rsidR="003907A2">
        <w:tab/>
      </w:r>
      <w:r>
        <w:t>High</w:t>
      </w:r>
      <w:r w:rsidR="001D0C51">
        <w:t>-</w:t>
      </w:r>
      <w:r>
        <w:t>quality evidence</w:t>
      </w:r>
      <w:proofErr w:type="gramEnd"/>
      <w:r>
        <w:t xml:space="preserve"> derived from consistent results from well-performed randomised controlled trials, or overwhelming evidence from another source (for example, well-executed observational trials with very strong effects).</w:t>
      </w:r>
    </w:p>
    <w:p w14:paraId="3ED7A644" w14:textId="2BCD706B" w:rsidR="00C06BC5" w:rsidRDefault="00C06BC5" w:rsidP="006611E8">
      <w:pPr>
        <w:spacing w:line="276" w:lineRule="auto"/>
        <w:ind w:left="709" w:hanging="709"/>
        <w:jc w:val="both"/>
      </w:pPr>
      <w:r>
        <w:t xml:space="preserve">B </w:t>
      </w:r>
      <w:r w:rsidR="003907A2">
        <w:tab/>
      </w:r>
      <w:r>
        <w:t>Moderate quality evidence from randomised trials that are</w:t>
      </w:r>
      <w:r w:rsidR="00F82C4A">
        <w:t xml:space="preserve"> </w:t>
      </w:r>
      <w:r>
        <w:t>compromised by flaws in conduct, consistency, indirectness, imprecise estimates, reporting bias or a combination of these limitations, or evidence from other studies with notable strength.</w:t>
      </w:r>
    </w:p>
    <w:p w14:paraId="416732DA" w14:textId="0E9C7EF5" w:rsidR="00C06BC5" w:rsidRDefault="00C06BC5" w:rsidP="006611E8">
      <w:pPr>
        <w:spacing w:line="276" w:lineRule="auto"/>
        <w:ind w:left="709" w:hanging="709"/>
        <w:jc w:val="both"/>
      </w:pPr>
      <w:r>
        <w:t xml:space="preserve">C </w:t>
      </w:r>
      <w:r>
        <w:tab/>
        <w:t>Low quality evidence from observational studies, or controlled trials with significant limitations.</w:t>
      </w:r>
    </w:p>
    <w:p w14:paraId="624469FA" w14:textId="5A4F6E68" w:rsidR="00C06BC5" w:rsidRDefault="00C06BC5" w:rsidP="006611E8">
      <w:pPr>
        <w:spacing w:line="276" w:lineRule="auto"/>
        <w:ind w:left="709" w:hanging="709"/>
        <w:jc w:val="both"/>
      </w:pPr>
      <w:r>
        <w:t xml:space="preserve">D </w:t>
      </w:r>
      <w:r w:rsidR="003907A2">
        <w:tab/>
      </w:r>
      <w:r>
        <w:tab/>
        <w:t>Evidence is based on case studies or expert opinion.</w:t>
      </w:r>
    </w:p>
    <w:p w14:paraId="22F08B59" w14:textId="05A273C7" w:rsidR="00C06BC5" w:rsidRDefault="00C06BC5" w:rsidP="006611E8">
      <w:pPr>
        <w:spacing w:line="276" w:lineRule="auto"/>
        <w:ind w:left="2880" w:hanging="2880"/>
        <w:jc w:val="both"/>
      </w:pPr>
      <w:r>
        <w:t>Level 1 recommendation</w:t>
      </w:r>
      <w:r>
        <w:tab/>
        <w:t>Strong recommendation, the benefits of an intervention clearly outweigh the risks for most, if not all patients</w:t>
      </w:r>
      <w:r w:rsidR="00372FB4">
        <w:t>.</w:t>
      </w:r>
    </w:p>
    <w:p w14:paraId="28A97F7D" w14:textId="779E0E95" w:rsidR="00C06BC5" w:rsidRDefault="00C06BC5" w:rsidP="006611E8">
      <w:pPr>
        <w:spacing w:line="276" w:lineRule="auto"/>
        <w:ind w:left="2880" w:hanging="2880"/>
        <w:jc w:val="both"/>
      </w:pPr>
      <w:r>
        <w:t>Level 2 recommendation</w:t>
      </w:r>
      <w:r w:rsidR="00372FB4">
        <w:tab/>
        <w:t>Weaker recommendation, where the risks and benefits are less certain or more closely balanced.</w:t>
      </w:r>
    </w:p>
    <w:p w14:paraId="48A02C88" w14:textId="32980C64" w:rsidR="002939EE" w:rsidRDefault="00372FB4" w:rsidP="006611E8">
      <w:pPr>
        <w:spacing w:line="276" w:lineRule="auto"/>
        <w:jc w:val="both"/>
      </w:pPr>
      <w:r>
        <w:t xml:space="preserve">In </w:t>
      </w:r>
      <w:proofErr w:type="gramStart"/>
      <w:r>
        <w:t>many</w:t>
      </w:r>
      <w:proofErr w:type="gramEnd"/>
      <w:r>
        <w:t xml:space="preserve"> areas evidence is weak</w:t>
      </w:r>
      <w:r w:rsidR="00F82C4A">
        <w:t xml:space="preserve"> </w:t>
      </w:r>
      <w:r>
        <w:t xml:space="preserve">and based solely on expert opinion. On these occasions the </w:t>
      </w:r>
      <w:proofErr w:type="gramStart"/>
      <w:r>
        <w:t>authors</w:t>
      </w:r>
      <w:proofErr w:type="gramEnd"/>
      <w:r>
        <w:t xml:space="preserve"> felt guidance was appropriate to advise clinicians in day-to-day practice.  </w:t>
      </w:r>
    </w:p>
    <w:p w14:paraId="33A3D531" w14:textId="2FCE3588" w:rsidR="008F47F2" w:rsidRDefault="008F47F2" w:rsidP="006611E8">
      <w:pPr>
        <w:pStyle w:val="Heading2"/>
        <w:spacing w:before="0" w:after="160" w:line="276" w:lineRule="auto"/>
      </w:pPr>
      <w:bookmarkStart w:id="8" w:name="_Toc128329917"/>
      <w:r>
        <w:t>Abbreviations</w:t>
      </w:r>
      <w:bookmarkEnd w:id="8"/>
      <w:r w:rsidR="00372FB4" w:rsidRPr="00372FB4">
        <w:t xml:space="preserve"> </w:t>
      </w:r>
    </w:p>
    <w:p w14:paraId="6B389C6E" w14:textId="769DE33C" w:rsidR="002F47B2" w:rsidRDefault="002F47B2" w:rsidP="006611E8">
      <w:pPr>
        <w:spacing w:line="276" w:lineRule="auto"/>
      </w:pPr>
      <w:r>
        <w:t>ABPM</w:t>
      </w:r>
      <w:r>
        <w:tab/>
      </w:r>
      <w:r>
        <w:tab/>
        <w:t>Ambulatory Blood Pressure Monitoring</w:t>
      </w:r>
    </w:p>
    <w:p w14:paraId="22236C4F" w14:textId="1483798A" w:rsidR="00B462AD" w:rsidRDefault="00B462AD" w:rsidP="006611E8">
      <w:pPr>
        <w:spacing w:line="276" w:lineRule="auto"/>
      </w:pPr>
      <w:r>
        <w:t>ACEi</w:t>
      </w:r>
      <w:r>
        <w:tab/>
      </w:r>
      <w:r>
        <w:tab/>
        <w:t>Angiotensin Converting Enzyme Inhibitor</w:t>
      </w:r>
    </w:p>
    <w:p w14:paraId="14E85E0D" w14:textId="31BD0F8E" w:rsidR="004366E6" w:rsidRDefault="004366E6" w:rsidP="006611E8">
      <w:pPr>
        <w:spacing w:line="276" w:lineRule="auto"/>
      </w:pPr>
      <w:r>
        <w:t>ACR</w:t>
      </w:r>
      <w:r>
        <w:tab/>
      </w:r>
      <w:r>
        <w:tab/>
      </w:r>
      <w:proofErr w:type="gramStart"/>
      <w:r>
        <w:t>Albumin:</w:t>
      </w:r>
      <w:r w:rsidR="00CE520A">
        <w:t>C</w:t>
      </w:r>
      <w:r>
        <w:t>reatinine</w:t>
      </w:r>
      <w:proofErr w:type="gramEnd"/>
      <w:r>
        <w:t xml:space="preserve"> </w:t>
      </w:r>
      <w:r w:rsidR="00CE520A">
        <w:t>R</w:t>
      </w:r>
      <w:r>
        <w:t>atio</w:t>
      </w:r>
    </w:p>
    <w:p w14:paraId="3D0A934D" w14:textId="12DA63B9" w:rsidR="002F47B2" w:rsidRDefault="002F47B2" w:rsidP="006611E8">
      <w:pPr>
        <w:spacing w:line="276" w:lineRule="auto"/>
      </w:pPr>
      <w:r>
        <w:t>AHUS</w:t>
      </w:r>
      <w:r>
        <w:tab/>
      </w:r>
      <w:r>
        <w:tab/>
        <w:t>Atypical Haemolytic Uraemic Syndrome</w:t>
      </w:r>
    </w:p>
    <w:p w14:paraId="5F3079B6" w14:textId="52E3232A" w:rsidR="00B462AD" w:rsidRDefault="00B462AD" w:rsidP="006611E8">
      <w:pPr>
        <w:spacing w:line="276" w:lineRule="auto"/>
      </w:pPr>
      <w:r>
        <w:t>ARB</w:t>
      </w:r>
      <w:r>
        <w:tab/>
      </w:r>
      <w:r>
        <w:tab/>
        <w:t>Angiotensin Receptor Blocker</w:t>
      </w:r>
    </w:p>
    <w:p w14:paraId="4C56C301" w14:textId="1A8C736B" w:rsidR="00711BE8" w:rsidRDefault="00711BE8" w:rsidP="006611E8">
      <w:pPr>
        <w:spacing w:line="276" w:lineRule="auto"/>
      </w:pPr>
      <w:r>
        <w:t>BTS</w:t>
      </w:r>
      <w:r>
        <w:tab/>
      </w:r>
      <w:r>
        <w:tab/>
        <w:t>British Transplantation Society</w:t>
      </w:r>
    </w:p>
    <w:p w14:paraId="1934830D" w14:textId="76D1C742" w:rsidR="002F47B2" w:rsidRDefault="002F47B2" w:rsidP="006611E8">
      <w:pPr>
        <w:spacing w:line="276" w:lineRule="auto"/>
      </w:pPr>
      <w:r>
        <w:t>CAKUT</w:t>
      </w:r>
      <w:r>
        <w:tab/>
      </w:r>
      <w:r>
        <w:tab/>
        <w:t>Congenital Abnormalities of the Kidney and Urinary Tract</w:t>
      </w:r>
    </w:p>
    <w:p w14:paraId="0145AC60" w14:textId="6EC8D62D" w:rsidR="00CE520A" w:rsidRDefault="00CE520A" w:rsidP="006611E8">
      <w:pPr>
        <w:spacing w:line="276" w:lineRule="auto"/>
      </w:pPr>
      <w:r>
        <w:t>CAPD</w:t>
      </w:r>
      <w:r>
        <w:tab/>
      </w:r>
      <w:r>
        <w:tab/>
        <w:t>Continuous Ambulatory Peritoneal Dialysis</w:t>
      </w:r>
    </w:p>
    <w:p w14:paraId="29CD66F9" w14:textId="6EB84010" w:rsidR="00B462AD" w:rsidRDefault="00B462AD" w:rsidP="006611E8">
      <w:pPr>
        <w:spacing w:line="276" w:lineRule="auto"/>
      </w:pPr>
      <w:r>
        <w:t>CCB</w:t>
      </w:r>
      <w:r>
        <w:tab/>
      </w:r>
      <w:r>
        <w:tab/>
        <w:t>Calcium Channel Blocker</w:t>
      </w:r>
    </w:p>
    <w:p w14:paraId="79240A8B" w14:textId="68D63180" w:rsidR="000F168E" w:rsidRDefault="000F168E" w:rsidP="006611E8">
      <w:pPr>
        <w:spacing w:line="276" w:lineRule="auto"/>
      </w:pPr>
      <w:r>
        <w:t>CKD</w:t>
      </w:r>
      <w:r>
        <w:tab/>
      </w:r>
      <w:r>
        <w:tab/>
        <w:t>Chronic Kidney Disease</w:t>
      </w:r>
    </w:p>
    <w:p w14:paraId="7C35E585" w14:textId="7DBCFB10" w:rsidR="002F47B2" w:rsidRDefault="002F47B2" w:rsidP="006611E8">
      <w:pPr>
        <w:spacing w:line="276" w:lineRule="auto"/>
      </w:pPr>
      <w:r>
        <w:t>CNI</w:t>
      </w:r>
      <w:r>
        <w:tab/>
      </w:r>
      <w:r>
        <w:tab/>
        <w:t>Calcineurin Inhibitor</w:t>
      </w:r>
    </w:p>
    <w:p w14:paraId="74E81EE0" w14:textId="76827C03" w:rsidR="00CE520A" w:rsidRDefault="00CE520A" w:rsidP="006611E8">
      <w:pPr>
        <w:spacing w:line="276" w:lineRule="auto"/>
      </w:pPr>
      <w:r>
        <w:t>cRF</w:t>
      </w:r>
      <w:r>
        <w:tab/>
      </w:r>
      <w:r>
        <w:tab/>
        <w:t>Calculated Reaction Frequency</w:t>
      </w:r>
    </w:p>
    <w:p w14:paraId="22DA2A6C" w14:textId="3C992DFA" w:rsidR="004366E6" w:rsidRDefault="004366E6" w:rsidP="006611E8">
      <w:pPr>
        <w:spacing w:line="276" w:lineRule="auto"/>
      </w:pPr>
      <w:r>
        <w:t>DSA</w:t>
      </w:r>
      <w:r>
        <w:tab/>
      </w:r>
      <w:r>
        <w:tab/>
        <w:t>Donor Specific Antibody</w:t>
      </w:r>
    </w:p>
    <w:p w14:paraId="5B8594FA" w14:textId="134D5FC9" w:rsidR="000F168E" w:rsidRDefault="000F168E" w:rsidP="006611E8">
      <w:pPr>
        <w:spacing w:line="276" w:lineRule="auto"/>
      </w:pPr>
      <w:r>
        <w:t>ESKD</w:t>
      </w:r>
      <w:r>
        <w:tab/>
      </w:r>
      <w:r>
        <w:tab/>
        <w:t>End-Stage Kidney Disease</w:t>
      </w:r>
    </w:p>
    <w:p w14:paraId="1A605619" w14:textId="3DE542F0" w:rsidR="002F47B2" w:rsidRDefault="002F47B2" w:rsidP="006611E8">
      <w:pPr>
        <w:spacing w:line="276" w:lineRule="auto"/>
      </w:pPr>
      <w:r>
        <w:t>FSGS</w:t>
      </w:r>
      <w:r>
        <w:tab/>
      </w:r>
      <w:r>
        <w:tab/>
        <w:t>Focal Segmental Glomerulosclerosis</w:t>
      </w:r>
    </w:p>
    <w:p w14:paraId="3F575F06" w14:textId="5D5140BF" w:rsidR="004366E6" w:rsidRDefault="004366E6" w:rsidP="006611E8">
      <w:pPr>
        <w:spacing w:line="276" w:lineRule="auto"/>
      </w:pPr>
      <w:r>
        <w:t>GFR</w:t>
      </w:r>
      <w:r>
        <w:tab/>
      </w:r>
      <w:r>
        <w:tab/>
        <w:t>Glomerular Filtration Rate</w:t>
      </w:r>
    </w:p>
    <w:p w14:paraId="112DBE79" w14:textId="5E98EFBA" w:rsidR="00CE520A" w:rsidRDefault="00CE520A" w:rsidP="006611E8">
      <w:pPr>
        <w:spacing w:line="276" w:lineRule="auto"/>
      </w:pPr>
      <w:r>
        <w:t>HD</w:t>
      </w:r>
      <w:r>
        <w:tab/>
      </w:r>
      <w:r>
        <w:tab/>
        <w:t>Haemodialysis</w:t>
      </w:r>
    </w:p>
    <w:p w14:paraId="03837788" w14:textId="0B1EEDEB" w:rsidR="003907A2" w:rsidRDefault="003907A2" w:rsidP="006611E8">
      <w:pPr>
        <w:spacing w:line="276" w:lineRule="auto"/>
      </w:pPr>
      <w:r>
        <w:lastRenderedPageBreak/>
        <w:t>HSP</w:t>
      </w:r>
      <w:r>
        <w:tab/>
      </w:r>
      <w:r>
        <w:tab/>
        <w:t>Highly Sensitised Patient</w:t>
      </w:r>
    </w:p>
    <w:p w14:paraId="3C9A09D7" w14:textId="6B9B0DDB" w:rsidR="002F146C" w:rsidRDefault="002F146C" w:rsidP="006611E8">
      <w:pPr>
        <w:spacing w:line="276" w:lineRule="auto"/>
      </w:pPr>
      <w:r>
        <w:t>ISPD</w:t>
      </w:r>
      <w:r>
        <w:tab/>
      </w:r>
      <w:r>
        <w:tab/>
        <w:t>International Society for Peritoneal Dialysis</w:t>
      </w:r>
    </w:p>
    <w:p w14:paraId="34C02219" w14:textId="1009862F" w:rsidR="004366E6" w:rsidRDefault="004366E6" w:rsidP="006611E8">
      <w:pPr>
        <w:spacing w:line="276" w:lineRule="auto"/>
      </w:pPr>
      <w:r>
        <w:t>KDIGO</w:t>
      </w:r>
      <w:r>
        <w:tab/>
      </w:r>
      <w:r>
        <w:tab/>
        <w:t>Kidney Disease: Improving Global Outcomes</w:t>
      </w:r>
    </w:p>
    <w:p w14:paraId="586D7158" w14:textId="5C06A7D4" w:rsidR="004366E6" w:rsidRDefault="004366E6" w:rsidP="006611E8">
      <w:pPr>
        <w:spacing w:line="276" w:lineRule="auto"/>
      </w:pPr>
      <w:r>
        <w:t>KTR</w:t>
      </w:r>
      <w:r>
        <w:tab/>
      </w:r>
      <w:r>
        <w:tab/>
        <w:t>Kidney Transplant Recipient</w:t>
      </w:r>
    </w:p>
    <w:p w14:paraId="0661553F" w14:textId="559BCF2F" w:rsidR="00CE520A" w:rsidRDefault="00CE520A" w:rsidP="006611E8">
      <w:pPr>
        <w:spacing w:line="276" w:lineRule="auto"/>
      </w:pPr>
      <w:r>
        <w:t>MDT</w:t>
      </w:r>
      <w:r>
        <w:tab/>
      </w:r>
      <w:r>
        <w:tab/>
        <w:t>Multi-Disciplinary Team</w:t>
      </w:r>
    </w:p>
    <w:p w14:paraId="55681836" w14:textId="1F45B9A5" w:rsidR="002F47B2" w:rsidRDefault="002F47B2" w:rsidP="006611E8">
      <w:pPr>
        <w:spacing w:line="276" w:lineRule="auto"/>
      </w:pPr>
      <w:r>
        <w:t>MMF</w:t>
      </w:r>
      <w:r>
        <w:tab/>
      </w:r>
      <w:r>
        <w:tab/>
        <w:t>Mycophenolate Mofetil</w:t>
      </w:r>
    </w:p>
    <w:p w14:paraId="50EFBB38" w14:textId="4E140B43" w:rsidR="002F47B2" w:rsidRDefault="002F47B2" w:rsidP="006611E8">
      <w:pPr>
        <w:spacing w:line="276" w:lineRule="auto"/>
      </w:pPr>
      <w:r>
        <w:t>M</w:t>
      </w:r>
      <w:r w:rsidR="00F00B65">
        <w:t>C</w:t>
      </w:r>
      <w:r>
        <w:t>GN</w:t>
      </w:r>
      <w:r>
        <w:tab/>
      </w:r>
      <w:r>
        <w:tab/>
      </w:r>
      <w:r w:rsidR="00F00B65">
        <w:t>Mesangiocapillary glomerulonephritis</w:t>
      </w:r>
    </w:p>
    <w:p w14:paraId="21FD5817" w14:textId="609DFADC" w:rsidR="000F168E" w:rsidRDefault="000F168E" w:rsidP="006611E8">
      <w:pPr>
        <w:spacing w:line="276" w:lineRule="auto"/>
      </w:pPr>
      <w:r>
        <w:t>NHSBT</w:t>
      </w:r>
      <w:r>
        <w:tab/>
      </w:r>
      <w:r>
        <w:tab/>
        <w:t>NHS Blood and Transplant</w:t>
      </w:r>
    </w:p>
    <w:p w14:paraId="27ADB4FF" w14:textId="3931C04B" w:rsidR="000F168E" w:rsidRDefault="000F168E" w:rsidP="006611E8">
      <w:pPr>
        <w:spacing w:line="276" w:lineRule="auto"/>
      </w:pPr>
      <w:r>
        <w:t>ODT</w:t>
      </w:r>
      <w:r>
        <w:tab/>
      </w:r>
      <w:r>
        <w:tab/>
        <w:t>Organ Donation and Transplantation</w:t>
      </w:r>
    </w:p>
    <w:p w14:paraId="08C9B16F" w14:textId="183B61E0" w:rsidR="00CE520A" w:rsidRDefault="004366E6" w:rsidP="006611E8">
      <w:pPr>
        <w:spacing w:line="276" w:lineRule="auto"/>
      </w:pPr>
      <w:r>
        <w:t>PCR</w:t>
      </w:r>
      <w:r>
        <w:tab/>
      </w:r>
      <w:r>
        <w:tab/>
      </w:r>
      <w:proofErr w:type="gramStart"/>
      <w:r>
        <w:t>Protein:</w:t>
      </w:r>
      <w:r w:rsidR="00CE520A">
        <w:t>C</w:t>
      </w:r>
      <w:r>
        <w:t>reatinine</w:t>
      </w:r>
      <w:proofErr w:type="gramEnd"/>
      <w:r>
        <w:t xml:space="preserve"> </w:t>
      </w:r>
      <w:r w:rsidR="00CE520A">
        <w:t>R</w:t>
      </w:r>
      <w:r>
        <w:t>ati</w:t>
      </w:r>
      <w:r w:rsidR="00CE520A">
        <w:t>o</w:t>
      </w:r>
    </w:p>
    <w:p w14:paraId="392691A9" w14:textId="7D218CAE" w:rsidR="002F146C" w:rsidRDefault="002F146C" w:rsidP="006611E8">
      <w:pPr>
        <w:spacing w:line="276" w:lineRule="auto"/>
      </w:pPr>
      <w:r>
        <w:t>PD</w:t>
      </w:r>
      <w:r>
        <w:tab/>
      </w:r>
      <w:r>
        <w:tab/>
        <w:t>Peritoneal Dialysis</w:t>
      </w:r>
    </w:p>
    <w:p w14:paraId="63BD8737" w14:textId="6B683C3D" w:rsidR="004366E6" w:rsidRDefault="004366E6" w:rsidP="006611E8">
      <w:pPr>
        <w:spacing w:line="276" w:lineRule="auto"/>
      </w:pPr>
      <w:r>
        <w:t>PRA</w:t>
      </w:r>
      <w:r>
        <w:tab/>
      </w:r>
      <w:r>
        <w:tab/>
        <w:t>Panel Reactive Antibody</w:t>
      </w:r>
    </w:p>
    <w:p w14:paraId="18DBEC78" w14:textId="1404EF5A" w:rsidR="004366E6" w:rsidRDefault="004366E6" w:rsidP="006611E8">
      <w:pPr>
        <w:spacing w:line="276" w:lineRule="auto"/>
      </w:pPr>
      <w:r>
        <w:t>RFKT</w:t>
      </w:r>
      <w:r>
        <w:tab/>
      </w:r>
      <w:r>
        <w:tab/>
        <w:t xml:space="preserve">Recipient with a </w:t>
      </w:r>
      <w:r w:rsidR="003907A2">
        <w:t>F</w:t>
      </w:r>
      <w:r>
        <w:t>ailing Kidney Transp</w:t>
      </w:r>
      <w:r w:rsidR="003907A2">
        <w:t>la</w:t>
      </w:r>
      <w:r>
        <w:t>nt</w:t>
      </w:r>
    </w:p>
    <w:p w14:paraId="1C5EFFE0" w14:textId="6F341830" w:rsidR="00CE520A" w:rsidRDefault="00CE520A" w:rsidP="006611E8">
      <w:pPr>
        <w:spacing w:line="276" w:lineRule="auto"/>
      </w:pPr>
      <w:r>
        <w:t>RRT</w:t>
      </w:r>
      <w:r>
        <w:tab/>
      </w:r>
      <w:r>
        <w:tab/>
        <w:t>Renal Replacement Therapy</w:t>
      </w:r>
    </w:p>
    <w:p w14:paraId="3C90E90A" w14:textId="469DC67E" w:rsidR="00FB4507" w:rsidRDefault="00FB4507" w:rsidP="006611E8">
      <w:pPr>
        <w:spacing w:line="276" w:lineRule="auto"/>
      </w:pPr>
      <w:r>
        <w:t>TRAS</w:t>
      </w:r>
      <w:r>
        <w:tab/>
      </w:r>
      <w:r>
        <w:tab/>
        <w:t>Transplant Renal Artery Stenosis</w:t>
      </w:r>
    </w:p>
    <w:p w14:paraId="6CAA54EF" w14:textId="55F890BE" w:rsidR="002F146C" w:rsidRDefault="002F146C" w:rsidP="006611E8">
      <w:pPr>
        <w:spacing w:line="276" w:lineRule="auto"/>
      </w:pPr>
      <w:r>
        <w:t>UKKA</w:t>
      </w:r>
      <w:r>
        <w:tab/>
      </w:r>
      <w:r>
        <w:tab/>
        <w:t>UK Kidney Association</w:t>
      </w:r>
    </w:p>
    <w:p w14:paraId="3BD5B3A6" w14:textId="0743A994" w:rsidR="002F47B2" w:rsidRDefault="002F47B2" w:rsidP="006611E8">
      <w:pPr>
        <w:spacing w:line="276" w:lineRule="auto"/>
      </w:pPr>
      <w:r>
        <w:t>VUR</w:t>
      </w:r>
      <w:r>
        <w:tab/>
      </w:r>
      <w:r>
        <w:tab/>
        <w:t>Vesico-ureteric reflux</w:t>
      </w:r>
    </w:p>
    <w:p w14:paraId="49CD3A1A" w14:textId="493FDAE3" w:rsidR="002F47B2" w:rsidRPr="004366E6" w:rsidRDefault="002F47B2" w:rsidP="006611E8">
      <w:pPr>
        <w:spacing w:line="276" w:lineRule="auto"/>
      </w:pPr>
      <w:r>
        <w:t>YAW</w:t>
      </w:r>
      <w:r>
        <w:tab/>
      </w:r>
      <w:r>
        <w:tab/>
        <w:t>Young Adult Worker</w:t>
      </w:r>
    </w:p>
    <w:p w14:paraId="455648DE" w14:textId="3C89CD57" w:rsidR="008F47F2" w:rsidRDefault="008F47F2" w:rsidP="006611E8">
      <w:pPr>
        <w:pStyle w:val="Heading2"/>
        <w:spacing w:before="0" w:after="160" w:line="276" w:lineRule="auto"/>
      </w:pPr>
      <w:bookmarkStart w:id="9" w:name="_Toc128329918"/>
      <w:r>
        <w:t>Definitions</w:t>
      </w:r>
      <w:bookmarkEnd w:id="9"/>
    </w:p>
    <w:p w14:paraId="0D9746B8" w14:textId="07B43BAA" w:rsidR="004B6E78" w:rsidRPr="004B6E78" w:rsidRDefault="004B6E78" w:rsidP="006611E8">
      <w:pPr>
        <w:pStyle w:val="Heading3"/>
        <w:spacing w:before="0" w:after="160" w:line="276" w:lineRule="auto"/>
      </w:pPr>
      <w:bookmarkStart w:id="10" w:name="_Toc128329919"/>
      <w:r>
        <w:t>Failing Kidney transplant</w:t>
      </w:r>
      <w:bookmarkEnd w:id="10"/>
    </w:p>
    <w:p w14:paraId="30D5C151" w14:textId="359E5A25" w:rsidR="00487207" w:rsidRDefault="00CE520A" w:rsidP="006611E8">
      <w:pPr>
        <w:spacing w:line="276" w:lineRule="auto"/>
        <w:jc w:val="both"/>
      </w:pPr>
      <w:r>
        <w:t xml:space="preserve">There is no agreed consensus on the definition of a failing kidney transplant. </w:t>
      </w:r>
      <w:proofErr w:type="gramStart"/>
      <w:r>
        <w:t>For the purpose of</w:t>
      </w:r>
      <w:proofErr w:type="gramEnd"/>
      <w:r>
        <w:t xml:space="preserve"> this </w:t>
      </w:r>
      <w:r w:rsidR="00505598">
        <w:t>guideline,</w:t>
      </w:r>
      <w:r>
        <w:t xml:space="preserve"> we have included two groups: i. Those with stable but low baseline function. Although transition to re-transplantation, dialysis or conservative care may not be planned for these recipients, they would likely benefit from the multi-disciplinary approach of an advanced kidney care clinic. ii. Those with an irreversible and progressive decline in kidney function and an anticipated transplant survival of &lt;12 months. This second group will in addition need support </w:t>
      </w:r>
      <w:r w:rsidR="00E25C6B">
        <w:t>for</w:t>
      </w:r>
      <w:r>
        <w:t xml:space="preserve"> their transition to their next mode of renal replacement therapy.</w:t>
      </w:r>
    </w:p>
    <w:p w14:paraId="44D8AE47" w14:textId="5F7804A6" w:rsidR="004B6E78" w:rsidRDefault="004B6E78" w:rsidP="006611E8">
      <w:pPr>
        <w:pStyle w:val="Heading3"/>
        <w:spacing w:before="0" w:after="160" w:line="276" w:lineRule="auto"/>
        <w:jc w:val="both"/>
      </w:pPr>
      <w:bookmarkStart w:id="11" w:name="_Toc128329920"/>
      <w:r>
        <w:t>Advanced kidney care clinic</w:t>
      </w:r>
      <w:bookmarkEnd w:id="11"/>
    </w:p>
    <w:p w14:paraId="507AE2C1" w14:textId="7A3F87FB" w:rsidR="004B6E78" w:rsidRDefault="004B6E78" w:rsidP="006611E8">
      <w:pPr>
        <w:spacing w:line="276" w:lineRule="auto"/>
        <w:jc w:val="both"/>
      </w:pPr>
      <w:r>
        <w:t xml:space="preserve">Advanced kidney care clinics have evolved to provide multi-disciplinary input for patients with advanced kidney disease and low kidney function. The composition of the MDT varies between centres, but typically includes a nephrologist, specialist renal nurses, dietician, </w:t>
      </w:r>
      <w:proofErr w:type="gramStart"/>
      <w:r>
        <w:t>psychologist</w:t>
      </w:r>
      <w:proofErr w:type="gramEnd"/>
      <w:r>
        <w:t xml:space="preserve"> and social worker. </w:t>
      </w:r>
    </w:p>
    <w:p w14:paraId="1A1C7DF1" w14:textId="0665B0FF" w:rsidR="00CB0C37" w:rsidRDefault="00CB0C37" w:rsidP="00CB0C37">
      <w:pPr>
        <w:pStyle w:val="Heading3"/>
      </w:pPr>
      <w:bookmarkStart w:id="12" w:name="_Toc128329921"/>
      <w:r w:rsidRPr="00C2008E">
        <w:lastRenderedPageBreak/>
        <w:t>Core support group</w:t>
      </w:r>
      <w:bookmarkEnd w:id="12"/>
      <w:r w:rsidRPr="00C2008E">
        <w:tab/>
      </w:r>
    </w:p>
    <w:p w14:paraId="52183994" w14:textId="77777777" w:rsidR="00CB0C37" w:rsidRPr="00C2008E" w:rsidRDefault="00CB0C37" w:rsidP="00CB0C37">
      <w:pPr>
        <w:jc w:val="both"/>
        <w:rPr>
          <w:color w:val="000000"/>
        </w:rPr>
      </w:pPr>
      <w:r w:rsidRPr="00C2008E">
        <w:rPr>
          <w:color w:val="000000"/>
        </w:rPr>
        <w:t>Anyone that the patient views as important in their life and they would like involved in shared</w:t>
      </w:r>
      <w:r>
        <w:rPr>
          <w:color w:val="000000"/>
        </w:rPr>
        <w:t xml:space="preserve"> </w:t>
      </w:r>
      <w:r w:rsidRPr="00C2008E">
        <w:rPr>
          <w:color w:val="000000"/>
        </w:rPr>
        <w:t>decision</w:t>
      </w:r>
      <w:r>
        <w:rPr>
          <w:color w:val="000000"/>
        </w:rPr>
        <w:t>-making</w:t>
      </w:r>
      <w:r w:rsidRPr="00C2008E">
        <w:rPr>
          <w:color w:val="000000"/>
        </w:rPr>
        <w:t xml:space="preserve">. It may include family, friends, carers, neighbours, work colleagues, support workers etc. </w:t>
      </w:r>
    </w:p>
    <w:p w14:paraId="1E098FB1" w14:textId="46685115" w:rsidR="008F47F2" w:rsidRDefault="008F47F2" w:rsidP="006611E8">
      <w:pPr>
        <w:pStyle w:val="Heading2"/>
        <w:spacing w:before="0" w:after="160" w:line="276" w:lineRule="auto"/>
      </w:pPr>
      <w:bookmarkStart w:id="13" w:name="_Toc128329922"/>
      <w:r>
        <w:t>Disclaimer</w:t>
      </w:r>
      <w:bookmarkEnd w:id="13"/>
    </w:p>
    <w:p w14:paraId="22E1F1D8" w14:textId="77777777" w:rsidR="004366E6" w:rsidRPr="004366E6" w:rsidRDefault="004366E6" w:rsidP="006611E8">
      <w:pPr>
        <w:pStyle w:val="NormalWeb"/>
        <w:shd w:val="clear" w:color="auto" w:fill="FFFFFF"/>
        <w:spacing w:before="0" w:beforeAutospacing="0" w:after="160" w:afterAutospacing="0" w:line="276" w:lineRule="auto"/>
        <w:jc w:val="both"/>
        <w:textAlignment w:val="baseline"/>
        <w:rPr>
          <w:rFonts w:asciiTheme="minorHAnsi" w:hAnsiTheme="minorHAnsi" w:cstheme="minorHAnsi"/>
          <w:sz w:val="22"/>
          <w:szCs w:val="22"/>
        </w:rPr>
      </w:pPr>
      <w:r w:rsidRPr="004366E6">
        <w:rPr>
          <w:rFonts w:asciiTheme="minorHAnsi" w:hAnsiTheme="minorHAnsi" w:cstheme="minorHAnsi"/>
          <w:sz w:val="22"/>
          <w:szCs w:val="22"/>
        </w:rPr>
        <w:t>This document provides a guide to best practice, which inevitably evolves over time. All clinicians involved in these aspects of transplantation need to undertake clinical care on an individualised basis and keep up to date with changes in the practice of clinical medicine.</w:t>
      </w:r>
    </w:p>
    <w:p w14:paraId="5107AE27" w14:textId="51BF0B85" w:rsidR="004366E6" w:rsidRPr="004366E6" w:rsidRDefault="004366E6" w:rsidP="006611E8">
      <w:pPr>
        <w:pStyle w:val="NormalWeb"/>
        <w:shd w:val="clear" w:color="auto" w:fill="FFFFFF"/>
        <w:spacing w:before="0" w:beforeAutospacing="0" w:after="160" w:afterAutospacing="0" w:line="276" w:lineRule="auto"/>
        <w:jc w:val="both"/>
        <w:textAlignment w:val="baseline"/>
        <w:rPr>
          <w:rFonts w:asciiTheme="minorHAnsi" w:hAnsiTheme="minorHAnsi" w:cstheme="minorHAnsi"/>
          <w:sz w:val="22"/>
          <w:szCs w:val="22"/>
        </w:rPr>
      </w:pPr>
      <w:r w:rsidRPr="004366E6">
        <w:rPr>
          <w:rFonts w:asciiTheme="minorHAnsi" w:hAnsiTheme="minorHAnsi" w:cstheme="minorHAnsi"/>
          <w:sz w:val="22"/>
          <w:szCs w:val="22"/>
        </w:rPr>
        <w:t xml:space="preserve">These guidelines represent the collective opinions of experts in the field and do not have the force of law. They contain information/guidance for use by practitioners as a best practice tool. It follows that the guidelines should be interpreted in the spirit rather than the letter of their contents. The opinions presented are subject to change and should not be used in isolation to define the management </w:t>
      </w:r>
      <w:r w:rsidR="00505598">
        <w:rPr>
          <w:rFonts w:asciiTheme="minorHAnsi" w:hAnsiTheme="minorHAnsi" w:cstheme="minorHAnsi"/>
          <w:sz w:val="22"/>
          <w:szCs w:val="22"/>
        </w:rPr>
        <w:t>of</w:t>
      </w:r>
      <w:r w:rsidRPr="004366E6">
        <w:rPr>
          <w:rFonts w:asciiTheme="minorHAnsi" w:hAnsiTheme="minorHAnsi" w:cstheme="minorHAnsi"/>
          <w:sz w:val="22"/>
          <w:szCs w:val="22"/>
        </w:rPr>
        <w:t xml:space="preserve"> any individual patient.</w:t>
      </w:r>
    </w:p>
    <w:p w14:paraId="3AF3AA68" w14:textId="43CCCF90" w:rsidR="00BB7D80" w:rsidRDefault="004366E6" w:rsidP="006611E8">
      <w:pPr>
        <w:pStyle w:val="NormalWeb"/>
        <w:shd w:val="clear" w:color="auto" w:fill="FFFFFF"/>
        <w:spacing w:before="0" w:beforeAutospacing="0" w:after="160" w:afterAutospacing="0" w:line="276" w:lineRule="auto"/>
        <w:jc w:val="both"/>
        <w:textAlignment w:val="baseline"/>
        <w:rPr>
          <w:rFonts w:asciiTheme="minorHAnsi" w:hAnsiTheme="minorHAnsi" w:cstheme="minorHAnsi"/>
          <w:sz w:val="22"/>
          <w:szCs w:val="22"/>
          <w:bdr w:val="none" w:sz="0" w:space="0" w:color="auto" w:frame="1"/>
        </w:rPr>
        <w:sectPr w:rsidR="00BB7D80" w:rsidSect="00EE5CC4">
          <w:type w:val="continuous"/>
          <w:pgSz w:w="11906" w:h="16838"/>
          <w:pgMar w:top="709" w:right="1440" w:bottom="1440" w:left="1440" w:header="708" w:footer="708" w:gutter="0"/>
          <w:cols w:space="708"/>
          <w:docGrid w:linePitch="360"/>
        </w:sectPr>
      </w:pPr>
      <w:r w:rsidRPr="004366E6">
        <w:rPr>
          <w:rFonts w:asciiTheme="minorHAnsi" w:hAnsiTheme="minorHAnsi" w:cstheme="minorHAnsi"/>
          <w:sz w:val="22"/>
          <w:szCs w:val="22"/>
          <w:bdr w:val="none" w:sz="0" w:space="0" w:color="auto" w:frame="1"/>
        </w:rPr>
        <w:t xml:space="preserve">The guidelines are not designed to be prescriptive, nor to define a standard of care. The British Transplantation Society cannot attest to the accuracy, completeness or currency of the opinions contained herein and </w:t>
      </w:r>
      <w:r w:rsidR="00505598">
        <w:rPr>
          <w:rFonts w:asciiTheme="minorHAnsi" w:hAnsiTheme="minorHAnsi" w:cstheme="minorHAnsi"/>
          <w:sz w:val="22"/>
          <w:szCs w:val="22"/>
          <w:bdr w:val="none" w:sz="0" w:space="0" w:color="auto" w:frame="1"/>
        </w:rPr>
        <w:t>does</w:t>
      </w:r>
      <w:r w:rsidRPr="004366E6">
        <w:rPr>
          <w:rFonts w:asciiTheme="minorHAnsi" w:hAnsiTheme="minorHAnsi" w:cstheme="minorHAnsi"/>
          <w:sz w:val="22"/>
          <w:szCs w:val="22"/>
          <w:bdr w:val="none" w:sz="0" w:space="0" w:color="auto" w:frame="1"/>
        </w:rPr>
        <w:t xml:space="preserve"> not accept responsibility or liability for any loss or damage caused to an</w:t>
      </w:r>
      <w:r w:rsidR="000B3FF9">
        <w:rPr>
          <w:rFonts w:asciiTheme="minorHAnsi" w:hAnsiTheme="minorHAnsi" w:cstheme="minorHAnsi"/>
          <w:sz w:val="22"/>
          <w:szCs w:val="22"/>
          <w:bdr w:val="none" w:sz="0" w:space="0" w:color="auto" w:frame="1"/>
        </w:rPr>
        <w:t xml:space="preserve">y </w:t>
      </w:r>
      <w:r w:rsidRPr="004366E6">
        <w:rPr>
          <w:rFonts w:asciiTheme="minorHAnsi" w:hAnsiTheme="minorHAnsi" w:cstheme="minorHAnsi"/>
          <w:sz w:val="22"/>
          <w:szCs w:val="22"/>
          <w:bdr w:val="none" w:sz="0" w:space="0" w:color="auto" w:frame="1"/>
        </w:rPr>
        <w:t xml:space="preserve">practitioner or any third party </w:t>
      </w:r>
      <w:proofErr w:type="gramStart"/>
      <w:r w:rsidRPr="004366E6">
        <w:rPr>
          <w:rFonts w:asciiTheme="minorHAnsi" w:hAnsiTheme="minorHAnsi" w:cstheme="minorHAnsi"/>
          <w:sz w:val="22"/>
          <w:szCs w:val="22"/>
          <w:bdr w:val="none" w:sz="0" w:space="0" w:color="auto" w:frame="1"/>
        </w:rPr>
        <w:t>as a result of</w:t>
      </w:r>
      <w:proofErr w:type="gramEnd"/>
      <w:r w:rsidRPr="004366E6">
        <w:rPr>
          <w:rFonts w:asciiTheme="minorHAnsi" w:hAnsiTheme="minorHAnsi" w:cstheme="minorHAnsi"/>
          <w:sz w:val="22"/>
          <w:szCs w:val="22"/>
          <w:bdr w:val="none" w:sz="0" w:space="0" w:color="auto" w:frame="1"/>
        </w:rPr>
        <w:t xml:space="preserve"> any reliance being placed on the guidelines or as a result of any inaccurate or misleading opinion contained in the guidelines.</w:t>
      </w:r>
    </w:p>
    <w:p w14:paraId="586152B4" w14:textId="62708664" w:rsidR="001D0C51" w:rsidRDefault="001D0C51" w:rsidP="001D0C51">
      <w:pPr>
        <w:pStyle w:val="Heading1"/>
        <w:spacing w:before="0" w:after="160" w:line="276" w:lineRule="auto"/>
      </w:pPr>
      <w:bookmarkStart w:id="14" w:name="_Toc128329923"/>
      <w:r>
        <w:t xml:space="preserve">1 </w:t>
      </w:r>
      <w:r w:rsidR="0099460F">
        <w:t>ORGANISATION OF OUT-PATIENT CARE</w:t>
      </w:r>
      <w:bookmarkEnd w:id="14"/>
    </w:p>
    <w:p w14:paraId="28AE9AE9" w14:textId="08D69835" w:rsidR="001D0C51" w:rsidRDefault="001D0C51" w:rsidP="00514677">
      <w:pPr>
        <w:pStyle w:val="Heading2"/>
      </w:pPr>
      <w:bookmarkStart w:id="15" w:name="_Toc128329924"/>
      <w:r>
        <w:t xml:space="preserve">Statements of </w:t>
      </w:r>
      <w:r w:rsidR="00514677">
        <w:t>R</w:t>
      </w:r>
      <w:r>
        <w:t>ecommendation</w:t>
      </w:r>
      <w:bookmarkEnd w:id="15"/>
    </w:p>
    <w:p w14:paraId="4D79961D" w14:textId="77777777" w:rsidR="001D0C51" w:rsidRDefault="001D0C51" w:rsidP="001D0C51">
      <w:pPr>
        <w:spacing w:line="276" w:lineRule="auto"/>
      </w:pPr>
      <w:r>
        <w:t>We suggest that:</w:t>
      </w:r>
    </w:p>
    <w:p w14:paraId="4C80BC96" w14:textId="5B3C643E" w:rsidR="001D0C51" w:rsidRDefault="001D0C51" w:rsidP="00346D2E">
      <w:pPr>
        <w:pStyle w:val="ListParagraph"/>
        <w:numPr>
          <w:ilvl w:val="0"/>
          <w:numId w:val="40"/>
        </w:numPr>
      </w:pPr>
      <w:r>
        <w:t>Patients with failing grafts have ready access to the low-clearance multi-disciplinary team</w:t>
      </w:r>
      <w:r w:rsidR="00BC44BA">
        <w:t>.</w:t>
      </w:r>
      <w:r>
        <w:t xml:space="preserve"> (2C)</w:t>
      </w:r>
    </w:p>
    <w:p w14:paraId="01CFAF79" w14:textId="6197BF09" w:rsidR="001D0C51" w:rsidRDefault="001D0C51" w:rsidP="00346D2E">
      <w:pPr>
        <w:pStyle w:val="ListParagraph"/>
        <w:numPr>
          <w:ilvl w:val="0"/>
          <w:numId w:val="40"/>
        </w:numPr>
      </w:pPr>
      <w:r>
        <w:t>Joint transplant/advanced kidney care be initiated at least 12 months before the anticipated need for dialysis or retransplantation, or when graft eGFR falls below 20ml/minute</w:t>
      </w:r>
      <w:r w:rsidR="00BC44BA">
        <w:t>.</w:t>
      </w:r>
      <w:r>
        <w:t xml:space="preserve"> (2C)</w:t>
      </w:r>
    </w:p>
    <w:p w14:paraId="178B546E" w14:textId="6D52276B" w:rsidR="001D0C51" w:rsidRDefault="001D0C51" w:rsidP="00346D2E">
      <w:pPr>
        <w:pStyle w:val="ListParagraph"/>
        <w:numPr>
          <w:ilvl w:val="0"/>
          <w:numId w:val="40"/>
        </w:numPr>
      </w:pPr>
      <w:r>
        <w:t>Where appropriate, retransplantation be undertaken when the eGFR of the recipient with a failing kidney transplant has fallen to 10 – 15 ml/minute</w:t>
      </w:r>
      <w:r w:rsidR="00BC44BA">
        <w:t>.</w:t>
      </w:r>
      <w:r>
        <w:t xml:space="preserve"> (2C)</w:t>
      </w:r>
    </w:p>
    <w:p w14:paraId="5732BE87" w14:textId="1CE84439" w:rsidR="001D0C51" w:rsidRDefault="001D0C51" w:rsidP="00346D2E">
      <w:pPr>
        <w:pStyle w:val="ListParagraph"/>
        <w:numPr>
          <w:ilvl w:val="0"/>
          <w:numId w:val="40"/>
        </w:numPr>
      </w:pPr>
      <w:r>
        <w:t>Given their increased morbidity, particular attention should be paid to the attainment of cardiovascular and other targets</w:t>
      </w:r>
      <w:r w:rsidR="00BC44BA">
        <w:t>.</w:t>
      </w:r>
      <w:r>
        <w:t xml:space="preserve"> (2C)</w:t>
      </w:r>
    </w:p>
    <w:p w14:paraId="50C42539" w14:textId="77777777" w:rsidR="001D0C51" w:rsidRDefault="001D0C51" w:rsidP="001D0C51">
      <w:pPr>
        <w:pStyle w:val="Heading2"/>
        <w:spacing w:before="0" w:after="160" w:line="276" w:lineRule="auto"/>
      </w:pPr>
      <w:bookmarkStart w:id="16" w:name="_Toc128329925"/>
      <w:r>
        <w:t>Rationale</w:t>
      </w:r>
      <w:bookmarkEnd w:id="16"/>
    </w:p>
    <w:p w14:paraId="0FD4CFEE" w14:textId="60F2E906" w:rsidR="001D0C51" w:rsidRDefault="001D0C51" w:rsidP="001D0C51">
      <w:pPr>
        <w:spacing w:line="276" w:lineRule="auto"/>
        <w:jc w:val="both"/>
      </w:pPr>
      <w:r>
        <w:t>In most centres in the UK, recipients with failing kidney transplants (RFKTs) continue to be managed in general transplant clinics with additional specialist input as required</w:t>
      </w:r>
      <w:r>
        <w:fldChar w:fldCharType="begin"/>
      </w:r>
      <w:r>
        <w:instrText xml:space="preserve"> ADDIN EN.CITE &lt;EndNote&gt;&lt;Cite&gt;&lt;Author&gt;Gittus&lt;/Author&gt;&lt;Year&gt;2023&lt;/Year&gt;&lt;RecNum&gt;1079&lt;/RecNum&gt;&lt;DisplayText&gt;&lt;style face="superscript"&gt;23&lt;/style&gt;&lt;/DisplayText&gt;&lt;record&gt;&lt;rec-number&gt;1079&lt;/rec-number&gt;&lt;foreign-keys&gt;&lt;key app="EN" db-id="2erfxtrp4es29re0e0qv5x5tpxp2s0xderet" timestamp="1674557379"&gt;1079&lt;/key&gt;&lt;/foreign-keys&gt;&lt;ref-type name="Conference Paper"&gt;47&lt;/ref-type&gt;&lt;contributors&gt;&lt;authors&gt;&lt;author&gt;Gittus, M.&lt;/author&gt;&lt;author&gt;Bailey, P.&lt;/author&gt;&lt;author&gt;Griffin, S.V.&lt;/author&gt;&lt;/authors&gt;&lt;/contributors&gt;&lt;titles&gt;&lt;title&gt;Management of patients with a failing kidney transplant: a survey of UK-based renal units&lt;/title&gt;&lt;secondary-title&gt;British Transplantation Society Annual Meeting&lt;/secondary-title&gt;&lt;/titles&gt;&lt;dates&gt;&lt;year&gt;2023&lt;/year&gt;&lt;/dates&gt;&lt;urls&gt;&lt;/urls&gt;&lt;/record&gt;&lt;/Cite&gt;&lt;/EndNote&gt;</w:instrText>
      </w:r>
      <w:r>
        <w:fldChar w:fldCharType="separate"/>
      </w:r>
      <w:r w:rsidRPr="001D0C51">
        <w:rPr>
          <w:noProof/>
          <w:vertAlign w:val="superscript"/>
        </w:rPr>
        <w:t>23</w:t>
      </w:r>
      <w:r>
        <w:fldChar w:fldCharType="end"/>
      </w:r>
      <w:r>
        <w:t>. There is evidence from the Renal Registry that kidney transplant recipients with poor graft function receive inferior care compared to patients with native kidney disease and are less likely to achieve recommended targets for control of hypertension and metabolic complications</w:t>
      </w:r>
      <w:r>
        <w:fldChar w:fldCharType="begin"/>
      </w:r>
      <w:r>
        <w:instrText xml:space="preserve"> ADDIN EN.CITE &lt;EndNote&gt;&lt;Cite&gt;&lt;RecNum&gt;1111&lt;/RecNum&gt;&lt;DisplayText&gt;&lt;style face="superscript"&gt;2&lt;/style&gt;&lt;/DisplayText&gt;&lt;record&gt;&lt;rec-number&gt;1111&lt;/rec-number&gt;&lt;foreign-keys&gt;&lt;key app="EN" db-id="2erfxtrp4es29re0e0qv5x5tpxp2s0xderet" timestamp="1675016141"&gt;1111&lt;/key&gt;&lt;key app="ENWeb" db-id=""&gt;0&lt;/key&gt;&lt;/foreign-keys&gt;&lt;ref-type name="Report"&gt;27&lt;/ref-type&gt;&lt;contributors&gt;&lt;/contributors&gt;&lt;titles&gt;&lt;title&gt;UK Renal Registry 24th Annual Report&lt;/title&gt;&lt;/titles&gt;&lt;dates&gt;&lt;/dates&gt;&lt;urls&gt;&lt;/urls&gt;&lt;/record&gt;&lt;/Cite&gt;&lt;/EndNote&gt;</w:instrText>
      </w:r>
      <w:r>
        <w:fldChar w:fldCharType="separate"/>
      </w:r>
      <w:r w:rsidRPr="00510866">
        <w:rPr>
          <w:noProof/>
          <w:vertAlign w:val="superscript"/>
        </w:rPr>
        <w:t>2</w:t>
      </w:r>
      <w:r>
        <w:fldChar w:fldCharType="end"/>
      </w:r>
      <w:r>
        <w:t>.  In addition, poor kidney transplant function is associated with an increased risk of death</w:t>
      </w:r>
      <w:r>
        <w:fldChar w:fldCharType="begin">
          <w:fldData xml:space="preserve">PEVuZE5vdGU+PENpdGU+PEF1dGhvcj5LYWJhbmk8L0F1dGhvcj48WWVhcj4yMDE0PC9ZZWFyPjxS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==
</w:fldData>
        </w:fldChar>
      </w:r>
      <w:r>
        <w:instrText xml:space="preserve"> ADDIN EN.CITE </w:instrText>
      </w:r>
      <w:r>
        <w:fldChar w:fldCharType="begin">
          <w:fldData xml:space="preserve">PEVuZE5vdGU+PENpdGU+PEF1dGhvcj5LYWJhbmk8L0F1dGhvcj48WWVhcj4yMDE0PC9ZZWFyPjxS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==
</w:fldData>
        </w:fldChar>
      </w:r>
      <w:r>
        <w:instrText xml:space="preserve"> ADDIN EN.CITE.DATA </w:instrText>
      </w:r>
      <w:r>
        <w:fldChar w:fldCharType="end"/>
      </w:r>
      <w:r>
        <w:fldChar w:fldCharType="separate"/>
      </w:r>
      <w:r w:rsidRPr="001D0C51">
        <w:rPr>
          <w:noProof/>
          <w:vertAlign w:val="superscript"/>
        </w:rPr>
        <w:t>16</w:t>
      </w:r>
      <w:r>
        <w:fldChar w:fldCharType="end"/>
      </w:r>
      <w:r>
        <w:t>. This risk is largely attributable to higher rates of cardiovascular disease and infection. Although particularly high at the time of return to dialysis, the increased risk persists</w:t>
      </w:r>
      <w:r>
        <w:fldChar w:fldCharType="begin">
          <w:fldData xml:space="preserve">PEVuZE5vdGU+PENpdGU+PEF1dGhvcj5SYW88L0F1dGhvcj48WWVhcj4yMDA3PC9ZZWFyPjxSZWNO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</w:fldData>
        </w:fldChar>
      </w:r>
      <w:r>
        <w:instrText xml:space="preserve"> ADDIN EN.CITE </w:instrText>
      </w:r>
      <w:r>
        <w:fldChar w:fldCharType="begin">
          <w:fldData xml:space="preserve">PEVuZE5vdGU+PENpdGU+PEF1dGhvcj5SYW88L0F1dGhvcj48WWVhcj4yMDA3PC9ZZWFyPjxSZWNO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</w:fldData>
        </w:fldChar>
      </w:r>
      <w:r>
        <w:instrText xml:space="preserve"> ADDIN EN.CITE.DATA </w:instrText>
      </w:r>
      <w:r>
        <w:fldChar w:fldCharType="end"/>
      </w:r>
      <w:r>
        <w:fldChar w:fldCharType="separate"/>
      </w:r>
      <w:r w:rsidRPr="001D0C51">
        <w:rPr>
          <w:noProof/>
          <w:vertAlign w:val="superscript"/>
        </w:rPr>
        <w:t>14,15,17</w:t>
      </w:r>
      <w:r>
        <w:fldChar w:fldCharType="end"/>
      </w:r>
      <w:r>
        <w:t xml:space="preserve">. </w:t>
      </w:r>
    </w:p>
    <w:p w14:paraId="7239973A" w14:textId="723E5A0A" w:rsidR="001D0C51" w:rsidRDefault="001D0C51" w:rsidP="001D0C51">
      <w:pPr>
        <w:spacing w:line="276" w:lineRule="auto"/>
        <w:jc w:val="both"/>
      </w:pPr>
      <w:r>
        <w:t>These observations have given impetus to the establishment of dedicated advanced kidney care transplant clinics, with the aim of improving outcomes for this patient group, but their benefits remain unproven</w:t>
      </w:r>
      <w:r>
        <w:fldChar w:fldCharType="begin">
          <w:fldData xml:space="preserve">PEVuZE5vdGU+PENpdGU+PEF1dGhvcj5FdmFuczwvQXV0aG9yPjxZZWFyPjIwMTg8L1llYXI+PFJl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</w:fldData>
        </w:fldChar>
      </w:r>
      <w:r>
        <w:instrText xml:space="preserve"> ADDIN EN.CITE </w:instrText>
      </w:r>
      <w:r>
        <w:fldChar w:fldCharType="begin">
          <w:fldData xml:space="preserve">PEVuZE5vdGU+PENpdGU+PEF1dGhvcj5FdmFuczwvQXV0aG9yPjxZZWFyPjIwMTg8L1llYXI+PFJl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</w:fldData>
        </w:fldChar>
      </w:r>
      <w:r>
        <w:instrText xml:space="preserve"> ADDIN EN.CITE.DATA </w:instrText>
      </w:r>
      <w:r>
        <w:fldChar w:fldCharType="end"/>
      </w:r>
      <w:r>
        <w:fldChar w:fldCharType="separate"/>
      </w:r>
      <w:r w:rsidRPr="001D0C51">
        <w:rPr>
          <w:noProof/>
          <w:vertAlign w:val="superscript"/>
        </w:rPr>
        <w:t>21,22</w:t>
      </w:r>
      <w:r>
        <w:fldChar w:fldCharType="end"/>
      </w:r>
      <w:r>
        <w:t>.</w:t>
      </w:r>
      <w:r w:rsidRPr="009B09AB">
        <w:t xml:space="preserve"> </w:t>
      </w:r>
      <w:r>
        <w:t xml:space="preserve">The model of care will vary depending on the number of patients, </w:t>
      </w:r>
      <w:r w:rsidR="00F00B65">
        <w:t>geography,</w:t>
      </w:r>
      <w:r>
        <w:t xml:space="preserve"> and availability of resources, but regardless of this</w:t>
      </w:r>
      <w:r w:rsidR="0017568A">
        <w:t>,</w:t>
      </w:r>
      <w:r>
        <w:t xml:space="preserve"> RFKTs should have ready access to the guidance and </w:t>
      </w:r>
      <w:r>
        <w:lastRenderedPageBreak/>
        <w:t>advice of the multi-disciplinary team. In line with pre-dialysis patients, joint transplant/advanced kidney care should be initiated at least 12 months before the anticipated need for dialysis or re-listing for transplantation</w:t>
      </w:r>
      <w:r>
        <w:fldChar w:fldCharType="begin">
          <w:fldData xml:space="preserve">PEVuZE5vdGU+PENpdGU+PEF1dGhvcj5MdWJldHpreTwvQXV0aG9yPjxZZWFyPjIwMjE8L1llYXI+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</w:fldData>
        </w:fldChar>
      </w:r>
      <w:r>
        <w:instrText xml:space="preserve"> ADDIN EN.CITE </w:instrText>
      </w:r>
      <w:r>
        <w:fldChar w:fldCharType="begin">
          <w:fldData xml:space="preserve">PEVuZE5vdGU+PENpdGU+PEF1dGhvcj5MdWJldHpreTwvQXV0aG9yPjxZZWFyPjIwMjE8L1llYXI+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</w:fldData>
        </w:fldChar>
      </w:r>
      <w:r>
        <w:instrText xml:space="preserve"> ADDIN EN.CITE.DATA </w:instrText>
      </w:r>
      <w:r>
        <w:fldChar w:fldCharType="end"/>
      </w:r>
      <w:r>
        <w:fldChar w:fldCharType="separate"/>
      </w:r>
      <w:r w:rsidRPr="001D0C51">
        <w:rPr>
          <w:noProof/>
          <w:vertAlign w:val="superscript"/>
        </w:rPr>
        <w:t>7,12</w:t>
      </w:r>
      <w:r>
        <w:fldChar w:fldCharType="end"/>
      </w:r>
      <w:r>
        <w:t xml:space="preserve">. The optimal timing of re-transplantation will depend on several factors including the rate of change of </w:t>
      </w:r>
      <w:r w:rsidR="0017568A">
        <w:t xml:space="preserve">kidney </w:t>
      </w:r>
      <w:r>
        <w:t>function and symptom burden, and in the case of living donor transplantation</w:t>
      </w:r>
      <w:r w:rsidR="0017568A">
        <w:t>,</w:t>
      </w:r>
      <w:r>
        <w:t xml:space="preserve"> </w:t>
      </w:r>
      <w:r w:rsidR="00F00B65">
        <w:t>donor,</w:t>
      </w:r>
      <w:r>
        <w:t xml:space="preserve"> and recipient convenience. In the absence of indications for delay (for example, following treatment for malignancy), preparations for re-transplantation should be completed by the time the eGFR has fallen to 10 – 15 ml/minute.</w:t>
      </w:r>
    </w:p>
    <w:p w14:paraId="266B8DFF" w14:textId="77777777" w:rsidR="001D0C51" w:rsidRDefault="001D0C51" w:rsidP="001D0C51">
      <w:pPr>
        <w:pStyle w:val="Heading2"/>
      </w:pPr>
      <w:bookmarkStart w:id="17" w:name="_Toc128329926"/>
      <w:r>
        <w:t>References</w:t>
      </w:r>
      <w:bookmarkEnd w:id="17"/>
    </w:p>
    <w:p w14:paraId="07334848" w14:textId="77777777" w:rsidR="001D0C51" w:rsidRPr="008E68CA" w:rsidRDefault="001D0C51" w:rsidP="00217066">
      <w:pPr>
        <w:pStyle w:val="EndNoteBibliography"/>
        <w:spacing w:after="0" w:line="276" w:lineRule="auto"/>
        <w:ind w:left="720" w:hanging="720"/>
      </w:pPr>
      <w:r>
        <w:fldChar w:fldCharType="begin"/>
      </w:r>
      <w:r>
        <w:instrText xml:space="preserve"> ADDIN EN.REFLIST </w:instrText>
      </w:r>
      <w:r>
        <w:fldChar w:fldCharType="separate"/>
      </w:r>
      <w:r w:rsidRPr="008E68CA">
        <w:t>1</w:t>
      </w:r>
      <w:r>
        <w:t>.</w:t>
      </w:r>
      <w:r w:rsidRPr="008E68CA">
        <w:tab/>
        <w:t xml:space="preserve">Gittus, M., Bailey, P. &amp; Griffin, S. V. in </w:t>
      </w:r>
      <w:r w:rsidRPr="008E68CA">
        <w:rPr>
          <w:i/>
        </w:rPr>
        <w:t>British Transplantation Society Annual Meeting</w:t>
      </w:r>
      <w:r w:rsidRPr="008E68CA">
        <w:t xml:space="preserve">    (2023).</w:t>
      </w:r>
    </w:p>
    <w:p w14:paraId="5568A10F" w14:textId="0C34603B" w:rsidR="001D0C51" w:rsidRPr="008E68CA" w:rsidRDefault="001D0C51" w:rsidP="00217066">
      <w:pPr>
        <w:pStyle w:val="EndNoteBibliography"/>
        <w:spacing w:after="0" w:line="276" w:lineRule="auto"/>
        <w:ind w:left="720" w:hanging="720"/>
      </w:pPr>
      <w:r w:rsidRPr="008E68CA">
        <w:t>2</w:t>
      </w:r>
      <w:r>
        <w:t>.</w:t>
      </w:r>
      <w:r w:rsidRPr="008E68CA">
        <w:tab/>
        <w:t>UK Renal Registry 24th Annual Report.pdf.</w:t>
      </w:r>
    </w:p>
    <w:p w14:paraId="29F7B16A" w14:textId="77777777" w:rsidR="001D0C51" w:rsidRPr="00280BC8" w:rsidRDefault="001D0C51" w:rsidP="00217066">
      <w:pPr>
        <w:pStyle w:val="EndNoteBibliography"/>
        <w:spacing w:after="0" w:line="276" w:lineRule="auto"/>
        <w:ind w:left="720" w:hanging="720"/>
        <w:rPr>
          <w:lang w:val="fr-FR"/>
        </w:rPr>
      </w:pPr>
      <w:r w:rsidRPr="008E68CA">
        <w:t>3</w:t>
      </w:r>
      <w:r>
        <w:t>.</w:t>
      </w:r>
      <w:r w:rsidRPr="008E68CA">
        <w:tab/>
        <w:t>Kabani, R.</w:t>
      </w:r>
      <w:r w:rsidRPr="008E68CA">
        <w:rPr>
          <w:i/>
        </w:rPr>
        <w:t xml:space="preserve"> et al.</w:t>
      </w:r>
      <w:r w:rsidRPr="008E68CA">
        <w:t xml:space="preserve"> Risk of death following kidney allograft failure: a systematic review and meta-analysis of cohort studies. </w:t>
      </w:r>
      <w:r w:rsidRPr="00280BC8">
        <w:rPr>
          <w:i/>
          <w:lang w:val="fr-FR"/>
        </w:rPr>
        <w:t>Nephrol Dial Transplant</w:t>
      </w:r>
      <w:r w:rsidRPr="00280BC8">
        <w:rPr>
          <w:lang w:val="fr-FR"/>
        </w:rPr>
        <w:t xml:space="preserve"> </w:t>
      </w:r>
      <w:r w:rsidRPr="00280BC8">
        <w:rPr>
          <w:b/>
          <w:lang w:val="fr-FR"/>
        </w:rPr>
        <w:t>29</w:t>
      </w:r>
      <w:r w:rsidRPr="00280BC8">
        <w:rPr>
          <w:lang w:val="fr-FR"/>
        </w:rPr>
        <w:t>, 1778-1786, doi:10.1093/ndt/gfu205 (2014).</w:t>
      </w:r>
    </w:p>
    <w:p w14:paraId="1E5DF7BE" w14:textId="77777777" w:rsidR="001D0C51" w:rsidRPr="00280BC8" w:rsidRDefault="001D0C51" w:rsidP="00217066">
      <w:pPr>
        <w:pStyle w:val="EndNoteBibliography"/>
        <w:spacing w:after="0" w:line="276" w:lineRule="auto"/>
        <w:ind w:left="720" w:hanging="720"/>
        <w:rPr>
          <w:lang w:val="da-DK"/>
        </w:rPr>
      </w:pPr>
      <w:r w:rsidRPr="00280BC8">
        <w:rPr>
          <w:lang w:val="fr-FR"/>
        </w:rPr>
        <w:t>4.</w:t>
      </w:r>
      <w:r w:rsidRPr="00280BC8">
        <w:rPr>
          <w:lang w:val="fr-FR"/>
        </w:rPr>
        <w:tab/>
        <w:t>Rao, P. S.</w:t>
      </w:r>
      <w:r w:rsidRPr="00280BC8">
        <w:rPr>
          <w:i/>
          <w:lang w:val="fr-FR"/>
        </w:rPr>
        <w:t xml:space="preserve"> et al.</w:t>
      </w:r>
      <w:r w:rsidRPr="00280BC8">
        <w:rPr>
          <w:lang w:val="fr-FR"/>
        </w:rPr>
        <w:t xml:space="preserve"> </w:t>
      </w:r>
      <w:r w:rsidRPr="008E68CA">
        <w:t xml:space="preserve">Survival on dialysis post-kidney transplant failure: results from the Scientific Registry of Transplant Recipients. </w:t>
      </w:r>
      <w:r w:rsidRPr="00280BC8">
        <w:rPr>
          <w:i/>
          <w:lang w:val="da-DK"/>
        </w:rPr>
        <w:t>Am J Kidney Dis</w:t>
      </w:r>
      <w:r w:rsidRPr="00280BC8">
        <w:rPr>
          <w:lang w:val="da-DK"/>
        </w:rPr>
        <w:t xml:space="preserve"> </w:t>
      </w:r>
      <w:r w:rsidRPr="00280BC8">
        <w:rPr>
          <w:b/>
          <w:lang w:val="da-DK"/>
        </w:rPr>
        <w:t>49</w:t>
      </w:r>
      <w:r w:rsidRPr="00280BC8">
        <w:rPr>
          <w:lang w:val="da-DK"/>
        </w:rPr>
        <w:t>, 294-300, doi:10.1053/j.ajkd.2006.11.022 (2007).</w:t>
      </w:r>
    </w:p>
    <w:p w14:paraId="15F5EB66" w14:textId="77777777" w:rsidR="001D0C51" w:rsidRPr="00280BC8" w:rsidRDefault="001D0C51" w:rsidP="00217066">
      <w:pPr>
        <w:pStyle w:val="EndNoteBibliography"/>
        <w:spacing w:after="0" w:line="276" w:lineRule="auto"/>
        <w:ind w:left="720" w:hanging="720"/>
        <w:rPr>
          <w:lang w:val="fr-FR"/>
        </w:rPr>
      </w:pPr>
      <w:r w:rsidRPr="00280BC8">
        <w:rPr>
          <w:lang w:val="da-DK"/>
        </w:rPr>
        <w:t>5.</w:t>
      </w:r>
      <w:r w:rsidRPr="00280BC8">
        <w:rPr>
          <w:lang w:val="da-DK"/>
        </w:rPr>
        <w:tab/>
        <w:t>Perl, J.</w:t>
      </w:r>
      <w:r w:rsidRPr="00280BC8">
        <w:rPr>
          <w:i/>
          <w:lang w:val="da-DK"/>
        </w:rPr>
        <w:t xml:space="preserve"> et al.</w:t>
      </w:r>
      <w:r w:rsidRPr="00280BC8">
        <w:rPr>
          <w:lang w:val="da-DK"/>
        </w:rPr>
        <w:t xml:space="preserve"> </w:t>
      </w:r>
      <w:r w:rsidRPr="008E68CA">
        <w:t xml:space="preserve">Reduced survival and quality of life following return to dialysis after transplant failure: the Dialysis Outcomes and Practice Patterns Study. </w:t>
      </w:r>
      <w:r w:rsidRPr="00280BC8">
        <w:rPr>
          <w:i/>
          <w:lang w:val="fr-FR"/>
        </w:rPr>
        <w:t>Nephrol Dial Transplant</w:t>
      </w:r>
      <w:r w:rsidRPr="00280BC8">
        <w:rPr>
          <w:lang w:val="fr-FR"/>
        </w:rPr>
        <w:t xml:space="preserve"> </w:t>
      </w:r>
      <w:r w:rsidRPr="00280BC8">
        <w:rPr>
          <w:b/>
          <w:lang w:val="fr-FR"/>
        </w:rPr>
        <w:t>27</w:t>
      </w:r>
      <w:r w:rsidRPr="00280BC8">
        <w:rPr>
          <w:lang w:val="fr-FR"/>
        </w:rPr>
        <w:t>, 4464-4472, doi:10.1093/ndt/gfs386 (2012).</w:t>
      </w:r>
    </w:p>
    <w:p w14:paraId="16546473" w14:textId="77777777" w:rsidR="001D0C51" w:rsidRPr="00280BC8" w:rsidRDefault="001D0C51" w:rsidP="00217066">
      <w:pPr>
        <w:pStyle w:val="EndNoteBibliography"/>
        <w:spacing w:after="0" w:line="276" w:lineRule="auto"/>
        <w:ind w:left="720" w:hanging="720"/>
        <w:rPr>
          <w:lang w:val="fr-FR"/>
        </w:rPr>
      </w:pPr>
      <w:r w:rsidRPr="00280BC8">
        <w:rPr>
          <w:lang w:val="fr-FR"/>
        </w:rPr>
        <w:t>6.</w:t>
      </w:r>
      <w:r w:rsidRPr="00280BC8">
        <w:rPr>
          <w:lang w:val="fr-FR"/>
        </w:rPr>
        <w:tab/>
        <w:t>Bisigniano, L.</w:t>
      </w:r>
      <w:r w:rsidRPr="00280BC8">
        <w:rPr>
          <w:i/>
          <w:lang w:val="fr-FR"/>
        </w:rPr>
        <w:t xml:space="preserve"> et al.</w:t>
      </w:r>
      <w:r w:rsidRPr="00280BC8">
        <w:rPr>
          <w:lang w:val="fr-FR"/>
        </w:rPr>
        <w:t xml:space="preserve"> </w:t>
      </w:r>
      <w:r w:rsidRPr="008E68CA">
        <w:t xml:space="preserve">Reduced survival in patients who return to dialysis after kidney allograft failure. </w:t>
      </w:r>
      <w:r w:rsidRPr="00280BC8">
        <w:rPr>
          <w:i/>
          <w:lang w:val="fr-FR"/>
        </w:rPr>
        <w:t>Clin Transplant</w:t>
      </w:r>
      <w:r w:rsidRPr="00280BC8">
        <w:rPr>
          <w:lang w:val="fr-FR"/>
        </w:rPr>
        <w:t xml:space="preserve"> </w:t>
      </w:r>
      <w:r w:rsidRPr="00280BC8">
        <w:rPr>
          <w:b/>
          <w:lang w:val="fr-FR"/>
        </w:rPr>
        <w:t>34</w:t>
      </w:r>
      <w:r w:rsidRPr="00280BC8">
        <w:rPr>
          <w:lang w:val="fr-FR"/>
        </w:rPr>
        <w:t>, e14014, doi:10.1111/ctr.14014 (2020).</w:t>
      </w:r>
    </w:p>
    <w:p w14:paraId="3E9E52B0" w14:textId="77777777" w:rsidR="001D0C51" w:rsidRPr="008E68CA" w:rsidRDefault="001D0C51" w:rsidP="00217066">
      <w:pPr>
        <w:pStyle w:val="EndNoteBibliography"/>
        <w:spacing w:after="0" w:line="276" w:lineRule="auto"/>
        <w:ind w:left="720" w:hanging="720"/>
      </w:pPr>
      <w:r w:rsidRPr="00280BC8">
        <w:rPr>
          <w:lang w:val="fr-FR"/>
        </w:rPr>
        <w:t>7.</w:t>
      </w:r>
      <w:r w:rsidRPr="00280BC8">
        <w:rPr>
          <w:lang w:val="fr-FR"/>
        </w:rPr>
        <w:tab/>
        <w:t>Evans, R. D. R.</w:t>
      </w:r>
      <w:r w:rsidRPr="00280BC8">
        <w:rPr>
          <w:i/>
          <w:lang w:val="fr-FR"/>
        </w:rPr>
        <w:t xml:space="preserve"> et al.</w:t>
      </w:r>
      <w:r w:rsidRPr="00280BC8">
        <w:rPr>
          <w:lang w:val="fr-FR"/>
        </w:rPr>
        <w:t xml:space="preserve"> </w:t>
      </w:r>
      <w:r w:rsidRPr="008E68CA">
        <w:t xml:space="preserve">Assessment of a Dedicated Transplant Low Clearance Clinic and Patient Outcomes on Dialysis After Renal Allograft Loss at 2 UK Transplant Centers. </w:t>
      </w:r>
      <w:r w:rsidRPr="008E68CA">
        <w:rPr>
          <w:i/>
        </w:rPr>
        <w:t>Transplant Direct</w:t>
      </w:r>
      <w:r w:rsidRPr="008E68CA">
        <w:t xml:space="preserve"> </w:t>
      </w:r>
      <w:r w:rsidRPr="008E68CA">
        <w:rPr>
          <w:b/>
        </w:rPr>
        <w:t>4</w:t>
      </w:r>
      <w:r w:rsidRPr="008E68CA">
        <w:t>, e352, doi:10.1097/TXD.0000000000000788 (2018).</w:t>
      </w:r>
    </w:p>
    <w:p w14:paraId="5AD70BA5" w14:textId="77777777" w:rsidR="001D0C51" w:rsidRPr="008E68CA" w:rsidRDefault="001D0C51" w:rsidP="00217066">
      <w:pPr>
        <w:pStyle w:val="EndNoteBibliography"/>
        <w:spacing w:after="0" w:line="276" w:lineRule="auto"/>
        <w:ind w:left="720" w:hanging="720"/>
      </w:pPr>
      <w:r w:rsidRPr="008E68CA">
        <w:t>8</w:t>
      </w:r>
      <w:r>
        <w:t>.</w:t>
      </w:r>
      <w:r w:rsidRPr="008E68CA">
        <w:tab/>
        <w:t xml:space="preserve">Arshad, A., Jackson-Spence, F. &amp; Sharif, A. Development and evaluation of dedicated low clearance transplant clinics for patients with failing kidney transplants. </w:t>
      </w:r>
      <w:r w:rsidRPr="008E68CA">
        <w:rPr>
          <w:i/>
        </w:rPr>
        <w:t>J Ren Care</w:t>
      </w:r>
      <w:r w:rsidRPr="008E68CA">
        <w:t xml:space="preserve"> </w:t>
      </w:r>
      <w:r w:rsidRPr="008E68CA">
        <w:rPr>
          <w:b/>
        </w:rPr>
        <w:t>45</w:t>
      </w:r>
      <w:r w:rsidRPr="008E68CA">
        <w:t>, 51-58, doi:10.1111/jorc.12268 (2019).</w:t>
      </w:r>
    </w:p>
    <w:p w14:paraId="06E68D64" w14:textId="77777777" w:rsidR="001D0C51" w:rsidRPr="008E68CA" w:rsidRDefault="001D0C51" w:rsidP="00217066">
      <w:pPr>
        <w:pStyle w:val="EndNoteBibliography"/>
        <w:spacing w:after="0" w:line="276" w:lineRule="auto"/>
        <w:ind w:left="720" w:hanging="720"/>
      </w:pPr>
      <w:r w:rsidRPr="008E68CA">
        <w:t>9</w:t>
      </w:r>
      <w:r>
        <w:t>.</w:t>
      </w:r>
      <w:r w:rsidRPr="008E68CA">
        <w:tab/>
        <w:t>Lubetzky, M.</w:t>
      </w:r>
      <w:r w:rsidRPr="008E68CA">
        <w:rPr>
          <w:i/>
        </w:rPr>
        <w:t xml:space="preserve"> et al.</w:t>
      </w:r>
      <w:r w:rsidRPr="008E68CA">
        <w:t xml:space="preserve"> The failing kidney allograft: A review and recommendations for the care and management of a complex group of patients. </w:t>
      </w:r>
      <w:r w:rsidRPr="008E68CA">
        <w:rPr>
          <w:i/>
        </w:rPr>
        <w:t>Am J Transplant</w:t>
      </w:r>
      <w:r w:rsidRPr="008E68CA">
        <w:t xml:space="preserve"> </w:t>
      </w:r>
      <w:r w:rsidRPr="008E68CA">
        <w:rPr>
          <w:b/>
        </w:rPr>
        <w:t>21</w:t>
      </w:r>
      <w:r w:rsidRPr="008E68CA">
        <w:t>, 2937-2949, doi:10.1111/ajt.16717 (2021).</w:t>
      </w:r>
    </w:p>
    <w:p w14:paraId="55CADDA3" w14:textId="77777777" w:rsidR="001D0C51" w:rsidRPr="008E68CA" w:rsidRDefault="001D0C51" w:rsidP="00217066">
      <w:pPr>
        <w:pStyle w:val="EndNoteBibliography"/>
        <w:spacing w:after="0" w:line="276" w:lineRule="auto"/>
        <w:ind w:left="720" w:hanging="720"/>
      </w:pPr>
      <w:r w:rsidRPr="008E68CA">
        <w:t>10</w:t>
      </w:r>
      <w:r>
        <w:t>.</w:t>
      </w:r>
      <w:r w:rsidRPr="008E68CA">
        <w:tab/>
        <w:t>Fiorentino, M.</w:t>
      </w:r>
      <w:r w:rsidRPr="008E68CA">
        <w:rPr>
          <w:i/>
        </w:rPr>
        <w:t xml:space="preserve"> et al.</w:t>
      </w:r>
      <w:r w:rsidRPr="008E68CA">
        <w:t xml:space="preserve"> Management of patients with a failed kidney transplant: what should we do? </w:t>
      </w:r>
      <w:r w:rsidRPr="008E68CA">
        <w:rPr>
          <w:i/>
        </w:rPr>
        <w:t>Clin Kidney J</w:t>
      </w:r>
      <w:r w:rsidRPr="008E68CA">
        <w:t xml:space="preserve"> </w:t>
      </w:r>
      <w:r w:rsidRPr="008E68CA">
        <w:rPr>
          <w:b/>
        </w:rPr>
        <w:t>14</w:t>
      </w:r>
      <w:r w:rsidRPr="008E68CA">
        <w:t>, 98-106, doi:10.1093/ckj/sfaa094 (2021).</w:t>
      </w:r>
    </w:p>
    <w:p w14:paraId="692E4CFF" w14:textId="796DFD09" w:rsidR="001D0C51" w:rsidRPr="001D0C51" w:rsidRDefault="001D0C51" w:rsidP="00217066">
      <w:pPr>
        <w:spacing w:after="0" w:line="276" w:lineRule="auto"/>
      </w:pPr>
      <w:r>
        <w:fldChar w:fldCharType="end"/>
      </w:r>
    </w:p>
    <w:p w14:paraId="61F228BB" w14:textId="77777777" w:rsidR="00784331" w:rsidRPr="0016371F" w:rsidRDefault="00784331" w:rsidP="00784331">
      <w:pPr>
        <w:pStyle w:val="Heading1"/>
        <w:spacing w:before="0" w:after="160"/>
        <w:rPr>
          <w:rFonts w:asciiTheme="minorHAnsi" w:hAnsiTheme="minorHAnsi" w:cstheme="minorHAnsi"/>
        </w:rPr>
      </w:pPr>
      <w:bookmarkStart w:id="18" w:name="_Toc128329927"/>
      <w:r>
        <w:t xml:space="preserve">2 </w:t>
      </w:r>
      <w:r w:rsidRPr="0016371F">
        <w:rPr>
          <w:rFonts w:asciiTheme="minorHAnsi" w:hAnsiTheme="minorHAnsi" w:cstheme="minorHAnsi"/>
        </w:rPr>
        <w:t>MANAGEMENT OF IMMUNOSUPPRESSION IN FAILING ALLOGRAFTS</w:t>
      </w:r>
      <w:bookmarkEnd w:id="18"/>
    </w:p>
    <w:p w14:paraId="2211775C" w14:textId="77777777" w:rsidR="00784331" w:rsidRPr="0016371F" w:rsidRDefault="00784331" w:rsidP="00784331">
      <w:pPr>
        <w:pStyle w:val="Heading2"/>
        <w:spacing w:before="0" w:after="160"/>
        <w:rPr>
          <w:rFonts w:asciiTheme="minorHAnsi" w:eastAsia="Arial" w:hAnsiTheme="minorHAnsi" w:cstheme="minorHAnsi"/>
        </w:rPr>
      </w:pPr>
      <w:bookmarkStart w:id="19" w:name="_Toc128329928"/>
      <w:r w:rsidRPr="0016371F">
        <w:rPr>
          <w:rFonts w:asciiTheme="minorHAnsi" w:eastAsia="Arial" w:hAnsiTheme="minorHAnsi" w:cstheme="minorHAnsi"/>
        </w:rPr>
        <w:t>Statements of Recommendation</w:t>
      </w:r>
      <w:bookmarkEnd w:id="19"/>
    </w:p>
    <w:p w14:paraId="131CCDB4" w14:textId="77777777" w:rsidR="00784331" w:rsidRPr="0016371F" w:rsidRDefault="00784331" w:rsidP="00BC44BA">
      <w:r w:rsidRPr="0016371F">
        <w:t>We recommend that</w:t>
      </w:r>
      <w:r>
        <w:t>:</w:t>
      </w:r>
    </w:p>
    <w:p w14:paraId="530C3E98" w14:textId="77777777" w:rsidR="00784331" w:rsidRPr="002B285E" w:rsidRDefault="00784331">
      <w:pPr>
        <w:numPr>
          <w:ilvl w:val="0"/>
          <w:numId w:val="2"/>
        </w:numPr>
        <w:spacing w:line="300" w:lineRule="auto"/>
        <w:ind w:left="714" w:hanging="357"/>
        <w:jc w:val="both"/>
        <w:rPr>
          <w:rFonts w:eastAsia="Arial" w:cstheme="minorHAnsi"/>
          <w:bCs/>
        </w:rPr>
      </w:pPr>
      <w:r w:rsidRPr="0016371F">
        <w:rPr>
          <w:rFonts w:eastAsia="Arial" w:cstheme="minorHAnsi"/>
        </w:rPr>
        <w:t xml:space="preserve">Where the allograft is failing (eGFR &lt; 20ml/minute and declining) AND there is </w:t>
      </w:r>
      <w:r>
        <w:rPr>
          <w:rFonts w:eastAsia="Arial" w:cstheme="minorHAnsi"/>
        </w:rPr>
        <w:t xml:space="preserve">a </w:t>
      </w:r>
      <w:r w:rsidRPr="0016371F">
        <w:rPr>
          <w:rFonts w:eastAsia="Arial" w:cstheme="minorHAnsi"/>
        </w:rPr>
        <w:t>likelihood of future retransplantation</w:t>
      </w:r>
      <w:r>
        <w:rPr>
          <w:rFonts w:eastAsia="Arial" w:cstheme="minorHAnsi"/>
        </w:rPr>
        <w:t>,</w:t>
      </w:r>
      <w:r w:rsidRPr="0016371F">
        <w:rPr>
          <w:rFonts w:eastAsia="Arial" w:cstheme="minorHAnsi"/>
        </w:rPr>
        <w:t xml:space="preserve"> immunosuppression (IS) is maintained to preserve residual kidney function and avoid allograft sensitisation</w:t>
      </w:r>
      <w:r>
        <w:rPr>
          <w:rFonts w:eastAsia="Arial" w:cstheme="minorHAnsi"/>
        </w:rPr>
        <w:t>.</w:t>
      </w:r>
      <w:r w:rsidRPr="0016371F">
        <w:rPr>
          <w:rFonts w:eastAsia="Arial" w:cstheme="minorHAnsi"/>
        </w:rPr>
        <w:t xml:space="preserve"> </w:t>
      </w:r>
      <w:r w:rsidRPr="002B285E">
        <w:rPr>
          <w:rFonts w:eastAsia="Arial" w:cstheme="minorHAnsi"/>
          <w:bCs/>
        </w:rPr>
        <w:t xml:space="preserve">(1C) </w:t>
      </w:r>
    </w:p>
    <w:p w14:paraId="17CA1CA5" w14:textId="77777777" w:rsidR="00784331" w:rsidRPr="002B285E" w:rsidRDefault="00784331">
      <w:pPr>
        <w:numPr>
          <w:ilvl w:val="0"/>
          <w:numId w:val="2"/>
        </w:numPr>
        <w:spacing w:line="300" w:lineRule="auto"/>
        <w:ind w:left="714" w:hanging="357"/>
        <w:jc w:val="both"/>
        <w:rPr>
          <w:rFonts w:eastAsia="Arial" w:cstheme="minorHAnsi"/>
          <w:bCs/>
        </w:rPr>
      </w:pPr>
      <w:r w:rsidRPr="0016371F">
        <w:rPr>
          <w:rFonts w:eastAsia="Arial" w:cstheme="minorHAnsi"/>
        </w:rPr>
        <w:t xml:space="preserve">Where the allograft has failed (return to dialysis) AND there is </w:t>
      </w:r>
      <w:r>
        <w:rPr>
          <w:rFonts w:eastAsia="Arial" w:cstheme="minorHAnsi"/>
        </w:rPr>
        <w:t xml:space="preserve">a </w:t>
      </w:r>
      <w:r w:rsidRPr="0016371F">
        <w:rPr>
          <w:rFonts w:eastAsia="Arial" w:cstheme="minorHAnsi"/>
        </w:rPr>
        <w:t xml:space="preserve">likelihood of future retransplantation there is reduction but not </w:t>
      </w:r>
      <w:r>
        <w:rPr>
          <w:rFonts w:eastAsia="Arial" w:cstheme="minorHAnsi"/>
        </w:rPr>
        <w:t xml:space="preserve">the </w:t>
      </w:r>
      <w:r w:rsidRPr="0016371F">
        <w:rPr>
          <w:rFonts w:eastAsia="Arial" w:cstheme="minorHAnsi"/>
        </w:rPr>
        <w:t>withdrawal of IS to minimise IS-related complications such as infection and malignancy while avoiding allograft sensitisation</w:t>
      </w:r>
      <w:r>
        <w:rPr>
          <w:rFonts w:eastAsia="Arial" w:cstheme="minorHAnsi"/>
        </w:rPr>
        <w:t>.</w:t>
      </w:r>
      <w:r w:rsidRPr="0016371F">
        <w:rPr>
          <w:rFonts w:eastAsia="Arial" w:cstheme="minorHAnsi"/>
        </w:rPr>
        <w:t xml:space="preserve"> </w:t>
      </w:r>
      <w:r w:rsidRPr="002B285E">
        <w:rPr>
          <w:rFonts w:eastAsia="Arial" w:cstheme="minorHAnsi"/>
          <w:bCs/>
        </w:rPr>
        <w:t>(1C)</w:t>
      </w:r>
    </w:p>
    <w:p w14:paraId="3FB9AE19" w14:textId="77777777" w:rsidR="00784331" w:rsidRPr="0016371F" w:rsidRDefault="00784331">
      <w:pPr>
        <w:numPr>
          <w:ilvl w:val="0"/>
          <w:numId w:val="2"/>
        </w:numPr>
        <w:spacing w:line="300" w:lineRule="auto"/>
        <w:ind w:left="714" w:hanging="357"/>
        <w:jc w:val="both"/>
        <w:rPr>
          <w:rFonts w:eastAsia="Arial" w:cstheme="minorHAnsi"/>
        </w:rPr>
      </w:pPr>
      <w:r w:rsidRPr="0016371F">
        <w:rPr>
          <w:rFonts w:eastAsia="Arial" w:cstheme="minorHAnsi"/>
        </w:rPr>
        <w:lastRenderedPageBreak/>
        <w:t>Where the allograft has failed (return to dialysis) and there is NO likelihood of future retransplantation, there is tapering and ultimately complete withdrawal of IS to minimise IS-related complications</w:t>
      </w:r>
      <w:r>
        <w:rPr>
          <w:rFonts w:eastAsia="Arial" w:cstheme="minorHAnsi"/>
        </w:rPr>
        <w:t>.</w:t>
      </w:r>
      <w:r w:rsidRPr="0016371F">
        <w:rPr>
          <w:rFonts w:eastAsia="Arial" w:cstheme="minorHAnsi"/>
        </w:rPr>
        <w:t xml:space="preserve"> </w:t>
      </w:r>
      <w:r w:rsidRPr="002B285E">
        <w:rPr>
          <w:rFonts w:eastAsia="Arial" w:cstheme="minorHAnsi"/>
          <w:bCs/>
        </w:rPr>
        <w:t>(1C)</w:t>
      </w:r>
      <w:r w:rsidRPr="0016371F">
        <w:rPr>
          <w:rFonts w:eastAsia="Arial" w:cstheme="minorHAnsi"/>
        </w:rPr>
        <w:t xml:space="preserve">  </w:t>
      </w:r>
    </w:p>
    <w:p w14:paraId="5158CBD9" w14:textId="77777777" w:rsidR="00784331" w:rsidRPr="0016371F" w:rsidRDefault="00784331">
      <w:pPr>
        <w:numPr>
          <w:ilvl w:val="0"/>
          <w:numId w:val="2"/>
        </w:numPr>
        <w:spacing w:line="300" w:lineRule="auto"/>
        <w:ind w:left="714" w:hanging="357"/>
        <w:jc w:val="both"/>
        <w:rPr>
          <w:rFonts w:eastAsia="Arial" w:cstheme="minorHAnsi"/>
        </w:rPr>
      </w:pPr>
      <w:r w:rsidRPr="0016371F">
        <w:rPr>
          <w:rFonts w:eastAsia="Arial" w:cstheme="minorHAnsi"/>
        </w:rPr>
        <w:t>For patients where there is a likelihood of retransplantation, there is 3 monthly monitoring of HLA antibodies</w:t>
      </w:r>
      <w:r>
        <w:rPr>
          <w:rFonts w:eastAsia="Arial" w:cstheme="minorHAnsi"/>
        </w:rPr>
        <w:t>.</w:t>
      </w:r>
      <w:r w:rsidRPr="0016371F">
        <w:rPr>
          <w:rFonts w:eastAsia="Arial" w:cstheme="minorHAnsi"/>
        </w:rPr>
        <w:t xml:space="preserve"> </w:t>
      </w:r>
      <w:r w:rsidRPr="002B285E">
        <w:rPr>
          <w:rFonts w:eastAsia="Arial" w:cstheme="minorHAnsi"/>
          <w:bCs/>
        </w:rPr>
        <w:t>(1D)</w:t>
      </w:r>
    </w:p>
    <w:p w14:paraId="56912AB5" w14:textId="77777777" w:rsidR="00784331" w:rsidRPr="0016371F" w:rsidRDefault="00784331">
      <w:pPr>
        <w:numPr>
          <w:ilvl w:val="0"/>
          <w:numId w:val="2"/>
        </w:numPr>
        <w:spacing w:line="300" w:lineRule="auto"/>
        <w:ind w:left="714" w:hanging="357"/>
        <w:jc w:val="both"/>
        <w:rPr>
          <w:rFonts w:eastAsia="Arial" w:cstheme="minorHAnsi"/>
        </w:rPr>
      </w:pPr>
      <w:r w:rsidRPr="0016371F">
        <w:rPr>
          <w:rFonts w:eastAsia="Arial" w:cstheme="minorHAnsi"/>
        </w:rPr>
        <w:t xml:space="preserve">Where IS has been reduced or withdrawn there is </w:t>
      </w:r>
      <w:r w:rsidRPr="0016371F">
        <w:rPr>
          <w:rFonts w:eastAsia="Arial" w:cstheme="minorHAnsi"/>
          <w:color w:val="3C4043"/>
          <w:highlight w:val="white"/>
        </w:rPr>
        <w:t>surveillance for graft intolerance syndrome</w:t>
      </w:r>
      <w:r>
        <w:rPr>
          <w:rFonts w:eastAsia="Arial" w:cstheme="minorHAnsi"/>
          <w:color w:val="3C4043"/>
          <w:highlight w:val="white"/>
        </w:rPr>
        <w:t>.</w:t>
      </w:r>
      <w:r w:rsidRPr="0016371F">
        <w:rPr>
          <w:rFonts w:eastAsia="Arial" w:cstheme="minorHAnsi"/>
          <w:color w:val="3C4043"/>
          <w:highlight w:val="white"/>
        </w:rPr>
        <w:t xml:space="preserve"> </w:t>
      </w:r>
      <w:r w:rsidRPr="002B285E">
        <w:rPr>
          <w:rFonts w:eastAsia="Arial" w:cstheme="minorHAnsi"/>
          <w:bCs/>
        </w:rPr>
        <w:t>(1D)</w:t>
      </w:r>
      <w:r w:rsidRPr="0016371F">
        <w:rPr>
          <w:rFonts w:eastAsia="Arial" w:cstheme="minorHAnsi"/>
        </w:rPr>
        <w:t xml:space="preserve"> </w:t>
      </w:r>
    </w:p>
    <w:p w14:paraId="1A204AA8" w14:textId="77777777" w:rsidR="00784331" w:rsidRPr="002B285E" w:rsidRDefault="00784331">
      <w:pPr>
        <w:numPr>
          <w:ilvl w:val="0"/>
          <w:numId w:val="2"/>
        </w:numPr>
        <w:spacing w:line="300" w:lineRule="auto"/>
        <w:ind w:left="714" w:hanging="357"/>
        <w:jc w:val="both"/>
        <w:rPr>
          <w:rFonts w:eastAsia="Arial" w:cstheme="minorHAnsi"/>
          <w:bCs/>
        </w:rPr>
      </w:pPr>
      <w:r w:rsidRPr="0016371F">
        <w:rPr>
          <w:rFonts w:eastAsia="Arial" w:cstheme="minorHAnsi"/>
        </w:rPr>
        <w:t xml:space="preserve">In the event of graft intolerance syndrome following </w:t>
      </w:r>
      <w:r>
        <w:rPr>
          <w:rFonts w:eastAsia="Arial" w:cstheme="minorHAnsi"/>
        </w:rPr>
        <w:t xml:space="preserve">the </w:t>
      </w:r>
      <w:r w:rsidRPr="0016371F">
        <w:rPr>
          <w:rFonts w:eastAsia="Arial" w:cstheme="minorHAnsi"/>
        </w:rPr>
        <w:t>withdrawal of IS</w:t>
      </w:r>
      <w:r>
        <w:rPr>
          <w:rFonts w:eastAsia="Arial" w:cstheme="minorHAnsi"/>
        </w:rPr>
        <w:t>,</w:t>
      </w:r>
      <w:r w:rsidRPr="0016371F">
        <w:rPr>
          <w:rFonts w:eastAsia="Arial" w:cstheme="minorHAnsi"/>
        </w:rPr>
        <w:t xml:space="preserve"> steroid therapy is recommenced</w:t>
      </w:r>
      <w:r>
        <w:rPr>
          <w:rFonts w:eastAsia="Arial" w:cstheme="minorHAnsi"/>
        </w:rPr>
        <w:t>.</w:t>
      </w:r>
      <w:r w:rsidRPr="0016371F">
        <w:rPr>
          <w:rFonts w:eastAsia="Arial" w:cstheme="minorHAnsi"/>
        </w:rPr>
        <w:t xml:space="preserve"> </w:t>
      </w:r>
      <w:r w:rsidRPr="002B285E">
        <w:rPr>
          <w:rFonts w:eastAsia="Arial" w:cstheme="minorHAnsi"/>
          <w:bCs/>
        </w:rPr>
        <w:t>(1C)</w:t>
      </w:r>
    </w:p>
    <w:p w14:paraId="63DCCDE5" w14:textId="77777777" w:rsidR="00784331" w:rsidRPr="0016371F" w:rsidRDefault="00784331" w:rsidP="00BC44BA">
      <w:r>
        <w:t>W</w:t>
      </w:r>
      <w:r w:rsidRPr="0016371F">
        <w:t>e suggest that</w:t>
      </w:r>
      <w:r>
        <w:t>:</w:t>
      </w:r>
    </w:p>
    <w:p w14:paraId="28D3B33E" w14:textId="7B5A39F0" w:rsidR="00784331" w:rsidRPr="0016371F" w:rsidRDefault="00784331">
      <w:pPr>
        <w:numPr>
          <w:ilvl w:val="0"/>
          <w:numId w:val="2"/>
        </w:numPr>
        <w:spacing w:line="276" w:lineRule="auto"/>
        <w:ind w:left="714" w:hanging="357"/>
        <w:jc w:val="both"/>
        <w:rPr>
          <w:rFonts w:eastAsia="Arial" w:cstheme="minorHAnsi"/>
        </w:rPr>
      </w:pPr>
      <w:r w:rsidRPr="0016371F">
        <w:rPr>
          <w:rFonts w:eastAsia="Arial" w:cstheme="minorHAnsi"/>
        </w:rPr>
        <w:t>Where the allograft is failing (eGFR &lt; 20ml/minute and declining) and there is NO likelihood of future retransplantation we advise reduction (but not complete withdrawal) of IS to minimise IS-related complications while preserving residual kidney function</w:t>
      </w:r>
      <w:r w:rsidR="002B285E">
        <w:rPr>
          <w:rFonts w:eastAsia="Arial" w:cstheme="minorHAnsi"/>
        </w:rPr>
        <w:t>.</w:t>
      </w:r>
      <w:r w:rsidRPr="0016371F">
        <w:rPr>
          <w:rFonts w:eastAsia="Arial" w:cstheme="minorHAnsi"/>
        </w:rPr>
        <w:t xml:space="preserve"> </w:t>
      </w:r>
      <w:r w:rsidRPr="002B285E">
        <w:rPr>
          <w:rFonts w:eastAsia="Arial" w:cstheme="minorHAnsi"/>
          <w:bCs/>
        </w:rPr>
        <w:t>(2D)</w:t>
      </w:r>
    </w:p>
    <w:p w14:paraId="5C901E53" w14:textId="3B4223AF" w:rsidR="00784331" w:rsidRPr="002B285E" w:rsidRDefault="00784331">
      <w:pPr>
        <w:numPr>
          <w:ilvl w:val="0"/>
          <w:numId w:val="1"/>
        </w:numPr>
        <w:spacing w:line="276" w:lineRule="auto"/>
        <w:ind w:left="714" w:hanging="357"/>
        <w:jc w:val="both"/>
        <w:rPr>
          <w:rFonts w:eastAsia="Arial" w:cstheme="minorHAnsi"/>
          <w:bCs/>
        </w:rPr>
      </w:pPr>
      <w:r w:rsidRPr="0016371F">
        <w:rPr>
          <w:rFonts w:eastAsia="Arial" w:cstheme="minorHAnsi"/>
        </w:rPr>
        <w:t>If acute inflammation does not resolve following steroid treatment for graft intolerance syndrome</w:t>
      </w:r>
      <w:r>
        <w:rPr>
          <w:rFonts w:eastAsia="Arial" w:cstheme="minorHAnsi"/>
        </w:rPr>
        <w:t>,</w:t>
      </w:r>
      <w:r w:rsidRPr="0016371F">
        <w:rPr>
          <w:rFonts w:eastAsia="Arial" w:cstheme="minorHAnsi"/>
        </w:rPr>
        <w:t xml:space="preserve"> transplant nephrectomy may be considered</w:t>
      </w:r>
      <w:r w:rsidR="002B285E">
        <w:rPr>
          <w:rFonts w:eastAsia="Arial" w:cstheme="minorHAnsi"/>
        </w:rPr>
        <w:t>.</w:t>
      </w:r>
      <w:r w:rsidRPr="0016371F">
        <w:rPr>
          <w:rFonts w:eastAsia="Arial" w:cstheme="minorHAnsi"/>
        </w:rPr>
        <w:t xml:space="preserve"> </w:t>
      </w:r>
      <w:r w:rsidRPr="002B285E">
        <w:rPr>
          <w:rFonts w:eastAsia="Arial" w:cstheme="minorHAnsi"/>
          <w:bCs/>
        </w:rPr>
        <w:t>(2D)</w:t>
      </w:r>
    </w:p>
    <w:p w14:paraId="1FE836F6" w14:textId="7A1E251C" w:rsidR="00784331" w:rsidRPr="002B285E" w:rsidRDefault="00784331">
      <w:pPr>
        <w:numPr>
          <w:ilvl w:val="0"/>
          <w:numId w:val="1"/>
        </w:numPr>
        <w:spacing w:line="276" w:lineRule="auto"/>
        <w:ind w:left="714" w:hanging="357"/>
        <w:jc w:val="both"/>
        <w:rPr>
          <w:rFonts w:eastAsia="Arial" w:cstheme="minorHAnsi"/>
        </w:rPr>
      </w:pPr>
      <w:r w:rsidRPr="0016371F">
        <w:rPr>
          <w:rFonts w:eastAsia="Arial" w:cstheme="minorHAnsi"/>
        </w:rPr>
        <w:t xml:space="preserve">Reduction of IS after graft nephrectomy </w:t>
      </w:r>
      <w:r>
        <w:rPr>
          <w:rFonts w:eastAsia="Arial" w:cstheme="minorHAnsi"/>
        </w:rPr>
        <w:t>need</w:t>
      </w:r>
      <w:r w:rsidR="0060290A">
        <w:rPr>
          <w:rFonts w:eastAsia="Arial" w:cstheme="minorHAnsi"/>
        </w:rPr>
        <w:t>s</w:t>
      </w:r>
      <w:r>
        <w:rPr>
          <w:rFonts w:eastAsia="Arial" w:cstheme="minorHAnsi"/>
        </w:rPr>
        <w:t xml:space="preserve"> </w:t>
      </w:r>
      <w:r w:rsidRPr="0016371F">
        <w:rPr>
          <w:rFonts w:eastAsia="Arial" w:cstheme="minorHAnsi"/>
        </w:rPr>
        <w:t>consider</w:t>
      </w:r>
      <w:r w:rsidR="0060290A">
        <w:rPr>
          <w:rFonts w:eastAsia="Arial" w:cstheme="minorHAnsi"/>
        </w:rPr>
        <w:t>ation of</w:t>
      </w:r>
      <w:r w:rsidRPr="0016371F">
        <w:rPr>
          <w:rFonts w:eastAsia="Arial" w:cstheme="minorHAnsi"/>
        </w:rPr>
        <w:t xml:space="preserve"> the time since transplant, retention of residual donor tissue and prospects for retransplantation</w:t>
      </w:r>
      <w:r w:rsidR="002B285E">
        <w:rPr>
          <w:rFonts w:eastAsia="Arial" w:cstheme="minorHAnsi"/>
        </w:rPr>
        <w:t>.</w:t>
      </w:r>
      <w:r w:rsidRPr="0016371F">
        <w:rPr>
          <w:rFonts w:eastAsia="Arial" w:cstheme="minorHAnsi"/>
        </w:rPr>
        <w:t xml:space="preserve"> </w:t>
      </w:r>
      <w:r w:rsidRPr="002B285E">
        <w:rPr>
          <w:rFonts w:eastAsia="Arial" w:cstheme="minorHAnsi"/>
        </w:rPr>
        <w:t>(2D)</w:t>
      </w:r>
    </w:p>
    <w:p w14:paraId="2A9148EB" w14:textId="77777777" w:rsidR="00784331" w:rsidRPr="0016371F" w:rsidRDefault="00784331" w:rsidP="00BC44BA">
      <w:r w:rsidRPr="0016371F">
        <w:t xml:space="preserve">Recommendations for </w:t>
      </w:r>
      <w:r>
        <w:t>f</w:t>
      </w:r>
      <w:r w:rsidRPr="0016371F">
        <w:t xml:space="preserve">uture </w:t>
      </w:r>
      <w:r>
        <w:t>r</w:t>
      </w:r>
      <w:r w:rsidRPr="0016371F">
        <w:t>esearch</w:t>
      </w:r>
      <w:r>
        <w:t>:</w:t>
      </w:r>
    </w:p>
    <w:p w14:paraId="22A73923" w14:textId="77777777" w:rsidR="00784331" w:rsidRPr="0016371F" w:rsidRDefault="00784331">
      <w:pPr>
        <w:numPr>
          <w:ilvl w:val="0"/>
          <w:numId w:val="3"/>
        </w:numPr>
        <w:spacing w:line="276" w:lineRule="auto"/>
        <w:ind w:left="714" w:hanging="357"/>
        <w:jc w:val="both"/>
        <w:rPr>
          <w:rFonts w:eastAsia="Arial" w:cstheme="minorHAnsi"/>
          <w:color w:val="231F20"/>
        </w:rPr>
      </w:pPr>
      <w:bookmarkStart w:id="20" w:name="_Hlk125448798"/>
      <w:r w:rsidRPr="0016371F">
        <w:rPr>
          <w:rFonts w:eastAsia="Arial" w:cstheme="minorHAnsi"/>
          <w:color w:val="231F20"/>
        </w:rPr>
        <w:t>Randomised controlled trial of IS withdrawal and/or nephrectomy.</w:t>
      </w:r>
    </w:p>
    <w:p w14:paraId="0447BE6C" w14:textId="77777777" w:rsidR="00784331" w:rsidRPr="0016371F" w:rsidRDefault="00784331">
      <w:pPr>
        <w:numPr>
          <w:ilvl w:val="0"/>
          <w:numId w:val="3"/>
        </w:numPr>
        <w:spacing w:line="276" w:lineRule="auto"/>
        <w:ind w:left="714" w:hanging="357"/>
        <w:jc w:val="both"/>
        <w:rPr>
          <w:rFonts w:eastAsia="Arial" w:cstheme="minorHAnsi"/>
          <w:color w:val="231F20"/>
        </w:rPr>
      </w:pPr>
      <w:r>
        <w:rPr>
          <w:rFonts w:eastAsia="Arial" w:cstheme="minorHAnsi"/>
          <w:color w:val="231F20"/>
        </w:rPr>
        <w:t>Is m</w:t>
      </w:r>
      <w:r w:rsidRPr="0016371F">
        <w:rPr>
          <w:rFonts w:eastAsia="Arial" w:cstheme="minorHAnsi"/>
          <w:color w:val="231F20"/>
        </w:rPr>
        <w:t>onitoring of IS levels during tapering</w:t>
      </w:r>
      <w:r>
        <w:rPr>
          <w:rFonts w:eastAsia="Arial" w:cstheme="minorHAnsi"/>
          <w:color w:val="231F20"/>
        </w:rPr>
        <w:t xml:space="preserve"> required?</w:t>
      </w:r>
    </w:p>
    <w:p w14:paraId="4F60EC62" w14:textId="77777777" w:rsidR="00784331" w:rsidRPr="0016371F" w:rsidRDefault="00784331">
      <w:pPr>
        <w:numPr>
          <w:ilvl w:val="0"/>
          <w:numId w:val="3"/>
        </w:numPr>
        <w:spacing w:line="276" w:lineRule="auto"/>
        <w:ind w:left="714" w:hanging="357"/>
        <w:jc w:val="both"/>
        <w:rPr>
          <w:rFonts w:eastAsia="Arial" w:cstheme="minorHAnsi"/>
          <w:color w:val="231F20"/>
        </w:rPr>
      </w:pPr>
      <w:r w:rsidRPr="0016371F">
        <w:rPr>
          <w:rFonts w:eastAsia="Arial" w:cstheme="minorHAnsi"/>
          <w:color w:val="231F20"/>
        </w:rPr>
        <w:t xml:space="preserve">Age stratification for IS intensity with consideration of the presence of </w:t>
      </w:r>
      <w:r w:rsidRPr="0016371F">
        <w:rPr>
          <w:rFonts w:eastAsia="Arial" w:cstheme="minorHAnsi"/>
          <w:color w:val="231F20"/>
          <w:highlight w:val="white"/>
        </w:rPr>
        <w:t>immunosenescence</w:t>
      </w:r>
      <w:r w:rsidRPr="0016371F">
        <w:rPr>
          <w:rFonts w:eastAsia="Arial" w:cstheme="minorHAnsi"/>
          <w:color w:val="231F20"/>
        </w:rPr>
        <w:t xml:space="preserve"> in older recipients.</w:t>
      </w:r>
    </w:p>
    <w:p w14:paraId="54593973" w14:textId="1AB2A2BF" w:rsidR="00784331" w:rsidRPr="0016371F" w:rsidRDefault="00784331">
      <w:pPr>
        <w:numPr>
          <w:ilvl w:val="0"/>
          <w:numId w:val="3"/>
        </w:numPr>
        <w:spacing w:line="276" w:lineRule="auto"/>
        <w:ind w:left="714" w:hanging="357"/>
        <w:jc w:val="both"/>
        <w:rPr>
          <w:rFonts w:eastAsia="Arial" w:cstheme="minorHAnsi"/>
          <w:color w:val="231F20"/>
        </w:rPr>
      </w:pPr>
      <w:r w:rsidRPr="0016371F">
        <w:rPr>
          <w:rFonts w:eastAsia="Arial" w:cstheme="minorHAnsi"/>
          <w:color w:val="231F20"/>
        </w:rPr>
        <w:t>Potential role of novel immunosuppressants, for example</w:t>
      </w:r>
      <w:r w:rsidR="0060290A">
        <w:rPr>
          <w:rFonts w:eastAsia="Arial" w:cstheme="minorHAnsi"/>
          <w:color w:val="231F20"/>
        </w:rPr>
        <w:t>,</w:t>
      </w:r>
      <w:r w:rsidRPr="0016371F">
        <w:rPr>
          <w:rFonts w:eastAsia="Arial" w:cstheme="minorHAnsi"/>
          <w:color w:val="231F20"/>
        </w:rPr>
        <w:t xml:space="preserve"> belatacept-based regimens, to prolong the function of a failing allograft and reduce the development of </w:t>
      </w:r>
      <w:r w:rsidRPr="0016371F">
        <w:rPr>
          <w:rFonts w:eastAsia="Arial" w:cstheme="minorHAnsi"/>
          <w:i/>
          <w:iCs/>
          <w:color w:val="231F20"/>
        </w:rPr>
        <w:t>de novo</w:t>
      </w:r>
      <w:r w:rsidRPr="0016371F">
        <w:rPr>
          <w:rFonts w:eastAsia="Arial" w:cstheme="minorHAnsi"/>
          <w:color w:val="231F20"/>
        </w:rPr>
        <w:t xml:space="preserve"> </w:t>
      </w:r>
      <w:r w:rsidR="0060290A">
        <w:rPr>
          <w:rFonts w:eastAsia="Arial" w:cstheme="minorHAnsi"/>
          <w:color w:val="231F20"/>
        </w:rPr>
        <w:t>donor-specific</w:t>
      </w:r>
      <w:r w:rsidRPr="0016371F">
        <w:rPr>
          <w:rFonts w:eastAsia="Arial" w:cstheme="minorHAnsi"/>
          <w:color w:val="231F20"/>
        </w:rPr>
        <w:t xml:space="preserve"> antibodies.</w:t>
      </w:r>
    </w:p>
    <w:p w14:paraId="7DFDE669" w14:textId="77777777" w:rsidR="00784331" w:rsidRPr="0016371F" w:rsidRDefault="00784331" w:rsidP="00784331">
      <w:pPr>
        <w:pStyle w:val="Heading2"/>
        <w:spacing w:before="0" w:after="160"/>
        <w:rPr>
          <w:rFonts w:asciiTheme="minorHAnsi" w:hAnsiTheme="minorHAnsi" w:cstheme="minorHAnsi"/>
        </w:rPr>
      </w:pPr>
      <w:bookmarkStart w:id="21" w:name="_Toc128329929"/>
      <w:bookmarkEnd w:id="20"/>
      <w:r w:rsidRPr="0016371F">
        <w:rPr>
          <w:rFonts w:asciiTheme="minorHAnsi" w:hAnsiTheme="minorHAnsi" w:cstheme="minorHAnsi"/>
        </w:rPr>
        <w:t>Rationale</w:t>
      </w:r>
      <w:bookmarkEnd w:id="21"/>
    </w:p>
    <w:p w14:paraId="107D5118" w14:textId="77777777" w:rsidR="00784331" w:rsidRPr="0016371F" w:rsidRDefault="00784331" w:rsidP="00784331">
      <w:pPr>
        <w:pStyle w:val="Heading3"/>
        <w:spacing w:before="0" w:after="160"/>
        <w:rPr>
          <w:rFonts w:asciiTheme="minorHAnsi" w:hAnsiTheme="minorHAnsi" w:cstheme="minorHAnsi"/>
        </w:rPr>
      </w:pPr>
      <w:bookmarkStart w:id="22" w:name="_Toc128329930"/>
      <w:r w:rsidRPr="0016371F">
        <w:rPr>
          <w:rFonts w:asciiTheme="minorHAnsi" w:hAnsiTheme="minorHAnsi" w:cstheme="minorHAnsi"/>
        </w:rPr>
        <w:t>2.1 Introduction</w:t>
      </w:r>
      <w:bookmarkEnd w:id="22"/>
    </w:p>
    <w:p w14:paraId="329CBE71" w14:textId="77777777" w:rsidR="00784331" w:rsidRPr="0016371F" w:rsidRDefault="00784331" w:rsidP="002B285E">
      <w:pPr>
        <w:spacing w:line="276" w:lineRule="auto"/>
        <w:jc w:val="both"/>
        <w:rPr>
          <w:rFonts w:eastAsia="Arial" w:cstheme="minorHAnsi"/>
          <w:highlight w:val="white"/>
        </w:rPr>
      </w:pPr>
      <w:r w:rsidRPr="0016371F">
        <w:rPr>
          <w:rFonts w:eastAsia="Arial" w:cstheme="minorHAnsi"/>
        </w:rPr>
        <w:t xml:space="preserve">Allograft failure is an increasingly prevalent cause of End Stage Kidney Disease requiring </w:t>
      </w:r>
      <w:r>
        <w:rPr>
          <w:rFonts w:eastAsia="Arial" w:cstheme="minorHAnsi"/>
        </w:rPr>
        <w:t xml:space="preserve">the </w:t>
      </w:r>
      <w:r w:rsidRPr="0016371F">
        <w:rPr>
          <w:rFonts w:eastAsia="Arial" w:cstheme="minorHAnsi"/>
        </w:rPr>
        <w:t>return to dialysis or retransplantation. This is largely due to the growth in the absolute number of kidney transplants rather than an increased rate of transplant failures. In the UK</w:t>
      </w:r>
      <w:r>
        <w:rPr>
          <w:rFonts w:eastAsia="Arial" w:cstheme="minorHAnsi"/>
        </w:rPr>
        <w:t>,</w:t>
      </w:r>
      <w:r w:rsidRPr="0016371F">
        <w:rPr>
          <w:rFonts w:eastAsia="Arial" w:cstheme="minorHAnsi"/>
        </w:rPr>
        <w:t xml:space="preserve"> on 31/12/2020</w:t>
      </w:r>
      <w:r>
        <w:rPr>
          <w:rFonts w:eastAsia="Arial" w:cstheme="minorHAnsi"/>
        </w:rPr>
        <w:t>,</w:t>
      </w:r>
      <w:r w:rsidRPr="0016371F">
        <w:rPr>
          <w:rFonts w:eastAsia="Arial" w:cstheme="minorHAnsi"/>
        </w:rPr>
        <w:t xml:space="preserve"> </w:t>
      </w:r>
      <w:r w:rsidRPr="0016371F">
        <w:rPr>
          <w:rFonts w:eastAsia="Arial" w:cstheme="minorHAnsi"/>
          <w:highlight w:val="white"/>
        </w:rPr>
        <w:t>16% of the 38,895 prevalent transplant recipients had a GFR &lt;30 ml/minute indicating a poorly functioning or failing renal allograft (24</w:t>
      </w:r>
      <w:r w:rsidRPr="0016371F">
        <w:rPr>
          <w:rFonts w:eastAsia="Arial" w:cstheme="minorHAnsi"/>
          <w:highlight w:val="white"/>
          <w:vertAlign w:val="superscript"/>
        </w:rPr>
        <w:t>th</w:t>
      </w:r>
      <w:r w:rsidRPr="0016371F">
        <w:rPr>
          <w:rFonts w:eastAsia="Arial" w:cstheme="minorHAnsi"/>
          <w:highlight w:val="white"/>
        </w:rPr>
        <w:t xml:space="preserve"> Renal Registry Report)</w:t>
      </w:r>
      <w:r w:rsidRPr="00C94890">
        <w:rPr>
          <w:rFonts w:eastAsia="Arial" w:cstheme="minorHAnsi"/>
          <w:color w:val="000000" w:themeColor="text1"/>
          <w:highlight w:val="white"/>
          <w:vertAlign w:val="superscript"/>
        </w:rPr>
        <w:t>1</w:t>
      </w:r>
      <w:r w:rsidRPr="00C94890">
        <w:rPr>
          <w:rFonts w:eastAsia="Arial" w:cstheme="minorHAnsi"/>
          <w:color w:val="000000" w:themeColor="text1"/>
          <w:highlight w:val="white"/>
        </w:rPr>
        <w:t>.</w:t>
      </w:r>
    </w:p>
    <w:p w14:paraId="4242BBC9" w14:textId="77777777" w:rsidR="00784331" w:rsidRPr="0016371F" w:rsidRDefault="00784331" w:rsidP="002B285E">
      <w:pPr>
        <w:spacing w:line="276" w:lineRule="auto"/>
        <w:jc w:val="both"/>
        <w:rPr>
          <w:rFonts w:eastAsia="Arial" w:cstheme="minorHAnsi"/>
        </w:rPr>
      </w:pPr>
      <w:r w:rsidRPr="0016371F">
        <w:rPr>
          <w:rFonts w:eastAsia="Arial" w:cstheme="minorHAnsi"/>
        </w:rPr>
        <w:t xml:space="preserve">A significant proportion of recipients with failed kidney transplants (RFKT) will be relisted for transplantation and comprise 16% of the active and suspended kidney transplant waiting pool (data not published from NHSBT). </w:t>
      </w:r>
    </w:p>
    <w:p w14:paraId="152AD37B" w14:textId="77777777" w:rsidR="00784331" w:rsidRPr="0016371F" w:rsidRDefault="00784331" w:rsidP="002B285E">
      <w:pPr>
        <w:spacing w:line="276" w:lineRule="auto"/>
        <w:jc w:val="both"/>
        <w:rPr>
          <w:rFonts w:eastAsia="Arial" w:cstheme="minorHAnsi"/>
        </w:rPr>
      </w:pPr>
      <w:r w:rsidRPr="0016371F">
        <w:rPr>
          <w:rFonts w:eastAsia="Arial" w:cstheme="minorHAnsi"/>
        </w:rPr>
        <w:t xml:space="preserve">The majority (up to 60%) of patients listed for repeat transplantation are sensitised. Many of these patients are highly sensitised with </w:t>
      </w:r>
      <w:r w:rsidRPr="0016371F">
        <w:rPr>
          <w:rFonts w:eastAsia="Arial" w:cstheme="minorHAnsi"/>
          <w:color w:val="231F20"/>
        </w:rPr>
        <w:t xml:space="preserve">a </w:t>
      </w:r>
      <w:r>
        <w:rPr>
          <w:rFonts w:eastAsia="Arial" w:cstheme="minorHAnsi"/>
          <w:color w:val="231F20"/>
        </w:rPr>
        <w:t>concomitantly</w:t>
      </w:r>
      <w:r w:rsidRPr="0016371F">
        <w:rPr>
          <w:rFonts w:eastAsia="Arial" w:cstheme="minorHAnsi"/>
          <w:color w:val="231F20"/>
        </w:rPr>
        <w:t xml:space="preserve"> reduced </w:t>
      </w:r>
      <w:r w:rsidRPr="00D02CDD">
        <w:rPr>
          <w:rFonts w:eastAsia="Arial" w:cstheme="minorHAnsi"/>
          <w:color w:val="000000" w:themeColor="text1"/>
        </w:rPr>
        <w:t xml:space="preserve">probability of </w:t>
      </w:r>
      <w:r w:rsidRPr="00D02CDD">
        <w:rPr>
          <w:rFonts w:eastAsia="Roboto" w:cstheme="minorHAnsi"/>
          <w:color w:val="000000" w:themeColor="text1"/>
          <w:highlight w:val="white"/>
        </w:rPr>
        <w:t>receiving an offer of a compatible transplant.</w:t>
      </w:r>
      <w:r w:rsidRPr="00D02CDD">
        <w:rPr>
          <w:rFonts w:eastAsia="Arial" w:cstheme="minorHAnsi"/>
          <w:color w:val="000000" w:themeColor="text1"/>
        </w:rPr>
        <w:t xml:space="preserve"> Recent studies have shown that the development of HLA sensitisation after </w:t>
      </w:r>
      <w:r w:rsidRPr="00D02CDD">
        <w:rPr>
          <w:rFonts w:eastAsia="Arial" w:cstheme="minorHAnsi"/>
          <w:color w:val="000000" w:themeColor="text1"/>
        </w:rPr>
        <w:lastRenderedPageBreak/>
        <w:t>transplant failure occurs most often after returning to the transplant waiting l</w:t>
      </w:r>
      <w:r w:rsidRPr="0016371F">
        <w:rPr>
          <w:rFonts w:eastAsia="Arial" w:cstheme="minorHAnsi"/>
          <w:color w:val="231F20"/>
        </w:rPr>
        <w:t>ist, when awaiting repeat kidney transplantation. This usually coincides with immunosuppression (IS) tapering or withdrawal</w:t>
      </w:r>
      <w:r>
        <w:rPr>
          <w:rFonts w:eastAsia="Arial" w:cstheme="minorHAnsi"/>
          <w:color w:val="231F20"/>
          <w:vertAlign w:val="superscript"/>
        </w:rPr>
        <w:t>2</w:t>
      </w:r>
      <w:r w:rsidRPr="0016371F">
        <w:rPr>
          <w:rFonts w:eastAsia="Arial" w:cstheme="minorHAnsi"/>
          <w:color w:val="231F20"/>
        </w:rPr>
        <w:t xml:space="preserve"> and is independent of graft nephrectomy</w:t>
      </w:r>
      <w:r>
        <w:rPr>
          <w:rFonts w:eastAsia="Arial" w:cstheme="minorHAnsi"/>
          <w:color w:val="231F20"/>
          <w:vertAlign w:val="superscript"/>
        </w:rPr>
        <w:t>3,4</w:t>
      </w:r>
      <w:r w:rsidRPr="0016371F">
        <w:rPr>
          <w:rFonts w:eastAsia="Arial" w:cstheme="minorHAnsi"/>
          <w:color w:val="231F20"/>
        </w:rPr>
        <w:t>. It is important to consider the timescale for repeat transplantation, for example, imminent live donor transplantation (in which case continuing IS is usually justified) or return to the deceased donor kidney transplant waiting list where waiting time may vary from months to ye</w:t>
      </w:r>
      <w:r w:rsidRPr="0016371F">
        <w:rPr>
          <w:rFonts w:eastAsia="Arial" w:cstheme="minorHAnsi"/>
        </w:rPr>
        <w:t>ars (in which case continuing IS will require careful consideration of risks and benefits for the individual patient). This is particularly relevant for paediatric recipients and young adults who are likely to require retransplantation within their lifetime. Clinical practice varies amongst centres; this has been described in two different US surveys</w:t>
      </w:r>
      <w:r>
        <w:rPr>
          <w:rFonts w:eastAsia="Arial" w:cstheme="minorHAnsi"/>
          <w:vertAlign w:val="superscript"/>
        </w:rPr>
        <w:t>5,6</w:t>
      </w:r>
      <w:r w:rsidRPr="0016371F">
        <w:rPr>
          <w:rFonts w:eastAsia="Arial" w:cstheme="minorHAnsi"/>
        </w:rPr>
        <w:t>. Ultimately an individualised approach is required where the risk of ongoing IS exposure is balanced against the risks of sensitisation</w:t>
      </w:r>
      <w:r w:rsidRPr="00C94890">
        <w:rPr>
          <w:rFonts w:eastAsia="Arial" w:cstheme="minorHAnsi"/>
          <w:vertAlign w:val="superscript"/>
        </w:rPr>
        <w:t>7</w:t>
      </w:r>
      <w:r w:rsidRPr="0016371F">
        <w:rPr>
          <w:rFonts w:eastAsia="Arial" w:cstheme="minorHAnsi"/>
        </w:rPr>
        <w:t>.</w:t>
      </w:r>
    </w:p>
    <w:p w14:paraId="26FFD7C6" w14:textId="77777777" w:rsidR="00784331" w:rsidRPr="0016371F" w:rsidRDefault="00784331" w:rsidP="00784331">
      <w:pPr>
        <w:pStyle w:val="Heading3"/>
        <w:spacing w:before="0" w:after="160"/>
        <w:rPr>
          <w:rFonts w:asciiTheme="minorHAnsi" w:eastAsia="Arial" w:hAnsiTheme="minorHAnsi" w:cstheme="minorHAnsi"/>
        </w:rPr>
      </w:pPr>
      <w:bookmarkStart w:id="23" w:name="_Toc128329931"/>
      <w:r w:rsidRPr="0016371F">
        <w:rPr>
          <w:rFonts w:asciiTheme="minorHAnsi" w:eastAsia="Arial" w:hAnsiTheme="minorHAnsi" w:cstheme="minorHAnsi"/>
        </w:rPr>
        <w:t>2.2 Patient considered for retransplantation</w:t>
      </w:r>
      <w:bookmarkEnd w:id="23"/>
    </w:p>
    <w:p w14:paraId="40058259" w14:textId="77777777" w:rsidR="00784331" w:rsidRPr="0016371F" w:rsidRDefault="00784331" w:rsidP="002B285E">
      <w:pPr>
        <w:spacing w:line="276" w:lineRule="auto"/>
        <w:jc w:val="both"/>
        <w:rPr>
          <w:rFonts w:eastAsia="Arial" w:cstheme="minorHAnsi"/>
        </w:rPr>
      </w:pPr>
      <w:r w:rsidRPr="0016371F">
        <w:rPr>
          <w:rFonts w:eastAsia="Arial" w:cstheme="minorHAnsi"/>
        </w:rPr>
        <w:t xml:space="preserve">Ongoing IS preserves residual graft function, prevents graft intolerance syndrome, and helps avoid sensitisation but has potential complications such as infection </w:t>
      </w:r>
      <w:r>
        <w:rPr>
          <w:rFonts w:eastAsia="Arial" w:cstheme="minorHAnsi"/>
        </w:rPr>
        <w:t>and</w:t>
      </w:r>
      <w:r w:rsidRPr="0016371F">
        <w:rPr>
          <w:rFonts w:eastAsia="Arial" w:cstheme="minorHAnsi"/>
        </w:rPr>
        <w:t xml:space="preserve"> malignancy. However, this needs to be balanced against the risk of HLA sensitisation.</w:t>
      </w:r>
    </w:p>
    <w:p w14:paraId="2E666BBF" w14:textId="7808F0D8" w:rsidR="00784331" w:rsidRPr="0016371F" w:rsidRDefault="00784331" w:rsidP="00784331">
      <w:pPr>
        <w:pStyle w:val="Heading4"/>
        <w:spacing w:before="0" w:after="160"/>
        <w:rPr>
          <w:rFonts w:asciiTheme="minorHAnsi" w:eastAsia="Arial" w:hAnsiTheme="minorHAnsi" w:cstheme="minorHAnsi"/>
        </w:rPr>
      </w:pPr>
      <w:bookmarkStart w:id="24" w:name="_Toc128329932"/>
      <w:r w:rsidRPr="0016371F">
        <w:rPr>
          <w:rFonts w:asciiTheme="minorHAnsi" w:eastAsia="Arial" w:hAnsiTheme="minorHAnsi" w:cstheme="minorHAnsi"/>
        </w:rPr>
        <w:t xml:space="preserve">2.2.1 </w:t>
      </w:r>
      <w:r w:rsidR="00D77243">
        <w:rPr>
          <w:rFonts w:asciiTheme="minorHAnsi" w:eastAsia="Arial" w:hAnsiTheme="minorHAnsi" w:cstheme="minorHAnsi"/>
        </w:rPr>
        <w:tab/>
      </w:r>
      <w:r w:rsidR="00D77243">
        <w:rPr>
          <w:rFonts w:asciiTheme="minorHAnsi" w:eastAsia="Arial" w:hAnsiTheme="minorHAnsi" w:cstheme="minorHAnsi"/>
        </w:rPr>
        <w:tab/>
      </w:r>
      <w:r w:rsidRPr="0016371F">
        <w:rPr>
          <w:rFonts w:asciiTheme="minorHAnsi" w:eastAsia="Arial" w:hAnsiTheme="minorHAnsi" w:cstheme="minorHAnsi"/>
        </w:rPr>
        <w:t>Risk of alloimmunisation versus continued immunosuppression</w:t>
      </w:r>
      <w:bookmarkEnd w:id="24"/>
      <w:r w:rsidRPr="0016371F">
        <w:rPr>
          <w:rFonts w:asciiTheme="minorHAnsi" w:eastAsia="Arial" w:hAnsiTheme="minorHAnsi" w:cstheme="minorHAnsi"/>
        </w:rPr>
        <w:t xml:space="preserve"> </w:t>
      </w:r>
    </w:p>
    <w:p w14:paraId="2A4048F1" w14:textId="521A2AB0" w:rsidR="00784331" w:rsidRPr="0016371F" w:rsidRDefault="00784331" w:rsidP="002B285E">
      <w:pPr>
        <w:spacing w:line="276" w:lineRule="auto"/>
        <w:jc w:val="both"/>
        <w:rPr>
          <w:rFonts w:eastAsia="Arial" w:cstheme="minorHAnsi"/>
        </w:rPr>
      </w:pPr>
      <w:r w:rsidRPr="0016371F">
        <w:rPr>
          <w:rFonts w:eastAsia="Arial" w:cstheme="minorHAnsi"/>
        </w:rPr>
        <w:t xml:space="preserve">The most compelling argument to continue IS is to prevent a rise in </w:t>
      </w:r>
      <w:r>
        <w:rPr>
          <w:rFonts w:eastAsia="Arial" w:cstheme="minorHAnsi"/>
        </w:rPr>
        <w:t>HLA-specific</w:t>
      </w:r>
      <w:r w:rsidRPr="0016371F">
        <w:rPr>
          <w:rFonts w:eastAsia="Arial" w:cstheme="minorHAnsi"/>
        </w:rPr>
        <w:t xml:space="preserve"> antibody levels, which may reduce the likelihood of retransplantation and lead to increased waiting time. Sensitisation frequently develops following IS withdrawal.  Emerging evidence suggests early withdrawal of </w:t>
      </w:r>
      <w:proofErr w:type="gramStart"/>
      <w:r w:rsidRPr="0016371F">
        <w:rPr>
          <w:rFonts w:eastAsia="Arial" w:cstheme="minorHAnsi"/>
        </w:rPr>
        <w:t>IS may be</w:t>
      </w:r>
      <w:proofErr w:type="gramEnd"/>
      <w:r w:rsidRPr="0016371F">
        <w:rPr>
          <w:rFonts w:eastAsia="Arial" w:cstheme="minorHAnsi"/>
        </w:rPr>
        <w:t xml:space="preserve"> an independent risk factor for </w:t>
      </w:r>
      <w:r>
        <w:rPr>
          <w:rFonts w:eastAsia="Arial" w:cstheme="minorHAnsi"/>
        </w:rPr>
        <w:t xml:space="preserve">the </w:t>
      </w:r>
      <w:r w:rsidRPr="0016371F">
        <w:rPr>
          <w:rFonts w:eastAsia="Arial" w:cstheme="minorHAnsi"/>
        </w:rPr>
        <w:t xml:space="preserve">development of HLA sensitisation. In a cohort of 119 recipients who had only low levels of sensitisation prior to transplantation, Augustine </w:t>
      </w:r>
      <w:r w:rsidRPr="0016371F">
        <w:rPr>
          <w:rFonts w:eastAsia="Arial" w:cstheme="minorHAnsi"/>
          <w:i/>
        </w:rPr>
        <w:t>et al</w:t>
      </w:r>
      <w:r w:rsidRPr="0016371F">
        <w:rPr>
          <w:rFonts w:eastAsia="Arial" w:cstheme="minorHAnsi"/>
        </w:rPr>
        <w:t xml:space="preserve"> found that the percentage of highly sensitised patients increased from 21% to 68% in the group in whom IS was weaned. In the cohort in whom IS was maintained</w:t>
      </w:r>
      <w:r w:rsidR="0060290A">
        <w:rPr>
          <w:rFonts w:eastAsia="Arial" w:cstheme="minorHAnsi"/>
        </w:rPr>
        <w:t>,</w:t>
      </w:r>
      <w:r w:rsidRPr="0016371F">
        <w:rPr>
          <w:rFonts w:eastAsia="Arial" w:cstheme="minorHAnsi"/>
        </w:rPr>
        <w:t xml:space="preserve"> there was minimal change in sensitisation</w:t>
      </w:r>
      <w:r w:rsidRPr="00C94890">
        <w:rPr>
          <w:rFonts w:eastAsia="Arial" w:cstheme="minorHAnsi"/>
          <w:vertAlign w:val="superscript"/>
        </w:rPr>
        <w:t>3</w:t>
      </w:r>
      <w:r w:rsidRPr="0016371F">
        <w:rPr>
          <w:rFonts w:eastAsia="Arial" w:cstheme="minorHAnsi"/>
        </w:rPr>
        <w:t xml:space="preserve">. Rao </w:t>
      </w:r>
      <w:r w:rsidRPr="0016371F">
        <w:rPr>
          <w:rFonts w:eastAsia="Arial" w:cstheme="minorHAnsi"/>
          <w:i/>
        </w:rPr>
        <w:t>et al</w:t>
      </w:r>
      <w:r w:rsidRPr="0016371F">
        <w:rPr>
          <w:rFonts w:eastAsia="Arial" w:cstheme="minorHAnsi"/>
        </w:rPr>
        <w:t xml:space="preserve"> demonstrated that a rapid withdrawal of IS was associated with an increased Class I panel reactive antibody (PRA), trended towards </w:t>
      </w:r>
      <w:r>
        <w:rPr>
          <w:rFonts w:eastAsia="Arial" w:cstheme="minorHAnsi"/>
        </w:rPr>
        <w:t xml:space="preserve">the </w:t>
      </w:r>
      <w:r w:rsidRPr="0016371F">
        <w:rPr>
          <w:rFonts w:eastAsia="Arial" w:cstheme="minorHAnsi"/>
        </w:rPr>
        <w:t>development of Donor Specific Antibodies (DSA), and increased Class II PRA when compared with a gradual reduction in IS</w:t>
      </w:r>
      <w:r>
        <w:rPr>
          <w:rFonts w:eastAsia="Arial" w:cstheme="minorHAnsi"/>
          <w:vertAlign w:val="superscript"/>
        </w:rPr>
        <w:t>8</w:t>
      </w:r>
      <w:r w:rsidRPr="0016371F">
        <w:rPr>
          <w:rFonts w:eastAsia="Arial" w:cstheme="minorHAnsi"/>
        </w:rPr>
        <w:t xml:space="preserve">.  Casey </w:t>
      </w:r>
      <w:r w:rsidRPr="0016371F">
        <w:rPr>
          <w:rFonts w:eastAsia="Arial" w:cstheme="minorHAnsi"/>
          <w:i/>
        </w:rPr>
        <w:t>et al</w:t>
      </w:r>
      <w:r w:rsidRPr="0016371F">
        <w:rPr>
          <w:rFonts w:eastAsia="Arial" w:cstheme="minorHAnsi"/>
        </w:rPr>
        <w:t xml:space="preserve"> reported a lower rate of sensitisation at transplant evaluation in recipients with prolonged IS versus early withdrawal</w:t>
      </w:r>
      <w:r w:rsidRPr="00C94890">
        <w:rPr>
          <w:rFonts w:eastAsia="Arial" w:cstheme="minorHAnsi"/>
          <w:vertAlign w:val="superscript"/>
        </w:rPr>
        <w:t>9</w:t>
      </w:r>
      <w:r w:rsidRPr="0016371F">
        <w:rPr>
          <w:rFonts w:eastAsia="Arial" w:cstheme="minorHAnsi"/>
        </w:rPr>
        <w:t xml:space="preserve">. </w:t>
      </w:r>
    </w:p>
    <w:p w14:paraId="7F3B151F" w14:textId="6B69F090" w:rsidR="00784331" w:rsidRPr="0016371F" w:rsidRDefault="00784331" w:rsidP="002B285E">
      <w:pPr>
        <w:spacing w:line="276" w:lineRule="auto"/>
        <w:jc w:val="both"/>
        <w:rPr>
          <w:rFonts w:eastAsia="Arial" w:cstheme="minorHAnsi"/>
          <w:highlight w:val="white"/>
        </w:rPr>
      </w:pPr>
      <w:r w:rsidRPr="0016371F">
        <w:rPr>
          <w:rFonts w:eastAsia="Arial" w:cstheme="minorHAnsi"/>
        </w:rPr>
        <w:t>Transplant nephrectomy was formerly considered an option to allow withdrawal of IS without provoking sensitisation. This approach has not been supported by recent studies. Serial Luminex analysis suggests that in recipients with DSA</w:t>
      </w:r>
      <w:r>
        <w:rPr>
          <w:rFonts w:eastAsia="Arial" w:cstheme="minorHAnsi"/>
        </w:rPr>
        <w:t>,</w:t>
      </w:r>
      <w:r w:rsidRPr="0016371F">
        <w:rPr>
          <w:rFonts w:eastAsia="Arial" w:cstheme="minorHAnsi"/>
        </w:rPr>
        <w:t xml:space="preserve"> the level of these may rise following graft nephrectomy independent of IS withdrawal</w:t>
      </w:r>
      <w:r w:rsidRPr="00C94890">
        <w:rPr>
          <w:rFonts w:eastAsia="Arial" w:cstheme="minorHAnsi"/>
          <w:vertAlign w:val="superscript"/>
        </w:rPr>
        <w:t>4</w:t>
      </w:r>
      <w:r w:rsidRPr="0016371F">
        <w:rPr>
          <w:rFonts w:eastAsia="Arial" w:cstheme="minorHAnsi"/>
        </w:rPr>
        <w:t>. It has been postulated that this may be due to the graft having acted as an ‘antibody sink’ or the pro-inflammatory effect of the surgical procedure</w:t>
      </w:r>
      <w:r w:rsidRPr="00C94890">
        <w:rPr>
          <w:rFonts w:eastAsia="Arial" w:cstheme="minorHAnsi"/>
          <w:vertAlign w:val="superscript"/>
        </w:rPr>
        <w:t>10</w:t>
      </w:r>
      <w:r w:rsidRPr="0016371F">
        <w:rPr>
          <w:rFonts w:eastAsia="Arial" w:cstheme="minorHAnsi"/>
        </w:rPr>
        <w:t xml:space="preserve">. Nimmo </w:t>
      </w:r>
      <w:r w:rsidRPr="0016371F">
        <w:rPr>
          <w:rFonts w:eastAsia="Arial" w:cstheme="minorHAnsi"/>
          <w:i/>
          <w:iCs/>
        </w:rPr>
        <w:t>et al</w:t>
      </w:r>
      <w:r w:rsidRPr="0016371F">
        <w:rPr>
          <w:rFonts w:eastAsia="Arial" w:cstheme="minorHAnsi"/>
        </w:rPr>
        <w:t xml:space="preserve"> compared changes in calculated reaction frequency (cRF) during weaning of IS in patients who had or had not undergone nephrectomy.   In 42 recipients who had undergone nephrectomy, cRF increased from 31% prior to IS reduction, 69% after IS reduction to 89% </w:t>
      </w:r>
      <w:r w:rsidR="0060290A">
        <w:rPr>
          <w:rFonts w:eastAsia="Arial" w:cstheme="minorHAnsi"/>
        </w:rPr>
        <w:t>post-IS</w:t>
      </w:r>
      <w:r w:rsidRPr="0016371F">
        <w:rPr>
          <w:rFonts w:eastAsia="Arial" w:cstheme="minorHAnsi"/>
        </w:rPr>
        <w:t xml:space="preserve"> cessation. This compared to changes from 13% to 40% to 62% in the same IS weaning categories for 17 patients who had a failed graft </w:t>
      </w:r>
      <w:r w:rsidRPr="0016371F">
        <w:rPr>
          <w:rFonts w:eastAsia="Arial" w:cstheme="minorHAnsi"/>
          <w:i/>
          <w:iCs/>
        </w:rPr>
        <w:t>in situ</w:t>
      </w:r>
      <w:r w:rsidRPr="0016371F">
        <w:rPr>
          <w:rFonts w:eastAsia="Arial" w:cstheme="minorHAnsi"/>
          <w:vertAlign w:val="superscript"/>
        </w:rPr>
        <w:t>1</w:t>
      </w:r>
      <w:r>
        <w:rPr>
          <w:rFonts w:eastAsia="Arial" w:cstheme="minorHAnsi"/>
          <w:vertAlign w:val="superscript"/>
        </w:rPr>
        <w:t>1</w:t>
      </w:r>
      <w:r w:rsidRPr="0016371F">
        <w:rPr>
          <w:rFonts w:eastAsia="Arial" w:cstheme="minorHAnsi"/>
        </w:rPr>
        <w:t xml:space="preserve">. This equated to a reduction in </w:t>
      </w:r>
      <w:r>
        <w:rPr>
          <w:rFonts w:eastAsia="Arial" w:cstheme="minorHAnsi"/>
        </w:rPr>
        <w:t xml:space="preserve">the </w:t>
      </w:r>
      <w:r w:rsidRPr="0016371F">
        <w:rPr>
          <w:rFonts w:eastAsia="Arial" w:cstheme="minorHAnsi"/>
        </w:rPr>
        <w:t>relative chance of re-</w:t>
      </w:r>
      <w:r>
        <w:rPr>
          <w:rFonts w:eastAsia="Arial" w:cstheme="minorHAnsi"/>
        </w:rPr>
        <w:t>transplantation</w:t>
      </w:r>
      <w:r w:rsidRPr="0016371F">
        <w:rPr>
          <w:rFonts w:eastAsia="Arial" w:cstheme="minorHAnsi"/>
        </w:rPr>
        <w:t xml:space="preserve"> from 54% to 46% at 5 years for the patients with graft </w:t>
      </w:r>
      <w:r w:rsidRPr="0016371F">
        <w:rPr>
          <w:rFonts w:eastAsia="Arial" w:cstheme="minorHAnsi"/>
          <w:i/>
          <w:iCs/>
        </w:rPr>
        <w:t>in situ</w:t>
      </w:r>
      <w:r w:rsidRPr="0016371F">
        <w:rPr>
          <w:rFonts w:eastAsia="Arial" w:cstheme="minorHAnsi"/>
        </w:rPr>
        <w:t xml:space="preserve"> and from 54% to 42% at 5 years for patients who had undergone nephrectomy. Similarly in a study of </w:t>
      </w:r>
      <w:r w:rsidRPr="0016371F">
        <w:rPr>
          <w:rFonts w:eastAsia="Arial" w:cstheme="minorHAnsi"/>
          <w:highlight w:val="white"/>
        </w:rPr>
        <w:t>91 nephrectomies, patients with a PRA &lt; 20% had a significant PRA increase post nephrectomy while patients with PRA &gt; 80% exhibited a significant but small decrease in PRA</w:t>
      </w:r>
      <w:r w:rsidRPr="0016371F">
        <w:rPr>
          <w:rFonts w:eastAsia="Arial" w:cstheme="minorHAnsi"/>
          <w:highlight w:val="white"/>
          <w:vertAlign w:val="superscript"/>
        </w:rPr>
        <w:t>1</w:t>
      </w:r>
      <w:r>
        <w:rPr>
          <w:rFonts w:eastAsia="Arial" w:cstheme="minorHAnsi"/>
          <w:highlight w:val="white"/>
          <w:vertAlign w:val="superscript"/>
        </w:rPr>
        <w:t>2</w:t>
      </w:r>
      <w:r w:rsidRPr="0016371F">
        <w:rPr>
          <w:rFonts w:eastAsia="Arial" w:cstheme="minorHAnsi"/>
          <w:highlight w:val="white"/>
        </w:rPr>
        <w:t>.</w:t>
      </w:r>
    </w:p>
    <w:p w14:paraId="18A642B8" w14:textId="77777777" w:rsidR="00784331" w:rsidRPr="0016371F" w:rsidRDefault="00784331" w:rsidP="002B285E">
      <w:pPr>
        <w:spacing w:line="276" w:lineRule="auto"/>
        <w:jc w:val="both"/>
        <w:rPr>
          <w:rFonts w:eastAsia="Arial" w:cstheme="minorHAnsi"/>
        </w:rPr>
      </w:pPr>
      <w:r w:rsidRPr="0016371F">
        <w:rPr>
          <w:rFonts w:eastAsia="Arial" w:cstheme="minorHAnsi"/>
        </w:rPr>
        <w:t>Two recent retrospective studies</w:t>
      </w:r>
      <w:r w:rsidRPr="0016371F">
        <w:rPr>
          <w:rFonts w:eastAsia="Arial" w:cstheme="minorHAnsi"/>
          <w:vertAlign w:val="superscript"/>
        </w:rPr>
        <w:t>1</w:t>
      </w:r>
      <w:r>
        <w:rPr>
          <w:rFonts w:eastAsia="Arial" w:cstheme="minorHAnsi"/>
          <w:vertAlign w:val="superscript"/>
        </w:rPr>
        <w:t>3</w:t>
      </w:r>
      <w:r w:rsidRPr="0016371F">
        <w:rPr>
          <w:rFonts w:eastAsia="Arial" w:cstheme="minorHAnsi"/>
          <w:vertAlign w:val="superscript"/>
        </w:rPr>
        <w:t>, 1</w:t>
      </w:r>
      <w:r>
        <w:rPr>
          <w:rFonts w:eastAsia="Arial" w:cstheme="minorHAnsi"/>
          <w:vertAlign w:val="superscript"/>
        </w:rPr>
        <w:t>4</w:t>
      </w:r>
      <w:r w:rsidRPr="0016371F">
        <w:rPr>
          <w:rFonts w:eastAsia="Arial" w:cstheme="minorHAnsi"/>
          <w:highlight w:val="white"/>
          <w:vertAlign w:val="superscript"/>
        </w:rPr>
        <w:t xml:space="preserve"> </w:t>
      </w:r>
      <w:r w:rsidRPr="0016371F">
        <w:rPr>
          <w:rFonts w:eastAsia="Arial" w:cstheme="minorHAnsi"/>
        </w:rPr>
        <w:t xml:space="preserve">support the continuation of CNI for more than 3 and 6 months respectively after graft failure to reduce the rate of sensitisation. Absence of CNI at 6 months after graft failure was significantly associated with calculated PRA &gt; 75% (OR 4.8, CI 95% 1.5–15.0, p = 0.006) and </w:t>
      </w:r>
      <w:r w:rsidRPr="0016371F">
        <w:rPr>
          <w:rFonts w:eastAsia="Arial" w:cstheme="minorHAnsi"/>
          <w:i/>
          <w:iCs/>
        </w:rPr>
        <w:t>de novo</w:t>
      </w:r>
      <w:r w:rsidRPr="0016371F">
        <w:rPr>
          <w:rFonts w:eastAsia="Arial" w:cstheme="minorHAnsi"/>
        </w:rPr>
        <w:t xml:space="preserve"> DSA development (OR 23.2, CI 95% 5.3–100.6, p &lt; 0.001). The development of </w:t>
      </w:r>
      <w:r w:rsidRPr="0016371F">
        <w:rPr>
          <w:rFonts w:eastAsia="Arial" w:cstheme="minorHAnsi"/>
          <w:i/>
          <w:iCs/>
        </w:rPr>
        <w:t>de novo</w:t>
      </w:r>
      <w:r w:rsidRPr="0016371F">
        <w:rPr>
          <w:rFonts w:eastAsia="Arial" w:cstheme="minorHAnsi"/>
        </w:rPr>
        <w:t xml:space="preserve"> </w:t>
      </w:r>
      <w:r w:rsidRPr="0016371F">
        <w:rPr>
          <w:rFonts w:eastAsia="Arial" w:cstheme="minorHAnsi"/>
        </w:rPr>
        <w:lastRenderedPageBreak/>
        <w:t xml:space="preserve">DSAs after cessation of CNI after 3 months (n = 63/90 [70.0%]) was significantly more frequent than during CNI treatment (n = 18/52 [34.6%], </w:t>
      </w:r>
      <w:r w:rsidRPr="0016371F">
        <w:rPr>
          <w:rFonts w:eastAsia="Arial" w:cstheme="minorHAnsi"/>
          <w:i/>
        </w:rPr>
        <w:t>P</w:t>
      </w:r>
      <w:r w:rsidRPr="0016371F">
        <w:rPr>
          <w:rFonts w:eastAsia="Arial" w:cstheme="minorHAnsi"/>
        </w:rPr>
        <w:t xml:space="preserve"> = 0.01).</w:t>
      </w:r>
    </w:p>
    <w:p w14:paraId="3D5A5B72" w14:textId="77777777" w:rsidR="00784331" w:rsidRPr="0016371F" w:rsidRDefault="00784331" w:rsidP="002B285E">
      <w:pPr>
        <w:spacing w:line="276" w:lineRule="auto"/>
        <w:jc w:val="both"/>
        <w:rPr>
          <w:rFonts w:eastAsia="Arial" w:cstheme="minorHAnsi"/>
        </w:rPr>
      </w:pPr>
      <w:r w:rsidRPr="0016371F">
        <w:rPr>
          <w:rFonts w:eastAsia="Arial" w:cstheme="minorHAnsi"/>
        </w:rPr>
        <w:t xml:space="preserve">A reasonable approach (Figure 1) is to minimise the risk of immunological sensitisation by continuing IS therapy if there is </w:t>
      </w:r>
      <w:r>
        <w:rPr>
          <w:rFonts w:eastAsia="Arial" w:cstheme="minorHAnsi"/>
        </w:rPr>
        <w:t xml:space="preserve">a </w:t>
      </w:r>
      <w:r w:rsidRPr="0016371F">
        <w:rPr>
          <w:rFonts w:eastAsia="Arial" w:cstheme="minorHAnsi"/>
        </w:rPr>
        <w:t>likelihood of future transplantation. If a longer period is anticipated before repeat transplantation, the risk:</w:t>
      </w:r>
      <w:r>
        <w:rPr>
          <w:rFonts w:eastAsia="Arial" w:cstheme="minorHAnsi"/>
        </w:rPr>
        <w:t xml:space="preserve"> </w:t>
      </w:r>
      <w:r w:rsidRPr="0016371F">
        <w:rPr>
          <w:rFonts w:eastAsia="Arial" w:cstheme="minorHAnsi"/>
        </w:rPr>
        <w:t>benefit ratio may favour gradual withdrawal of IS and should be considered on an individual basis.</w:t>
      </w:r>
    </w:p>
    <w:p w14:paraId="4E72ECA5" w14:textId="77777777" w:rsidR="00784331" w:rsidRPr="0016371F" w:rsidRDefault="00784331" w:rsidP="002B285E">
      <w:pPr>
        <w:spacing w:line="276" w:lineRule="auto"/>
        <w:jc w:val="both"/>
        <w:rPr>
          <w:rFonts w:eastAsia="Arial" w:cstheme="minorHAnsi"/>
        </w:rPr>
      </w:pPr>
      <w:r w:rsidRPr="0016371F">
        <w:rPr>
          <w:rFonts w:eastAsia="Arial" w:cstheme="minorHAnsi"/>
        </w:rPr>
        <w:t>There are specific situations in which recipients may require a rapid decrease in IS, notably BK virus nephropathy</w:t>
      </w:r>
      <w:r w:rsidRPr="0016371F">
        <w:rPr>
          <w:rFonts w:eastAsia="Arial" w:cstheme="minorHAnsi"/>
          <w:vertAlign w:val="superscript"/>
        </w:rPr>
        <w:t>1</w:t>
      </w:r>
      <w:r>
        <w:rPr>
          <w:rFonts w:eastAsia="Arial" w:cstheme="minorHAnsi"/>
          <w:vertAlign w:val="superscript"/>
        </w:rPr>
        <w:t>5</w:t>
      </w:r>
      <w:r w:rsidRPr="0016371F">
        <w:rPr>
          <w:rFonts w:eastAsia="Arial" w:cstheme="minorHAnsi"/>
        </w:rPr>
        <w:t xml:space="preserve"> or certain forms of malignancy.</w:t>
      </w:r>
    </w:p>
    <w:p w14:paraId="29ED53AE" w14:textId="17FCE655" w:rsidR="00784331" w:rsidRPr="002B285E" w:rsidRDefault="00784331" w:rsidP="002B285E">
      <w:pPr>
        <w:spacing w:line="276" w:lineRule="auto"/>
        <w:jc w:val="both"/>
        <w:rPr>
          <w:rFonts w:eastAsia="Arial" w:cstheme="minorHAnsi"/>
          <w:bCs/>
          <w:sz w:val="24"/>
          <w:szCs w:val="24"/>
        </w:rPr>
      </w:pPr>
      <w:r w:rsidRPr="002B285E">
        <w:rPr>
          <w:rFonts w:eastAsia="Arial" w:cstheme="minorHAnsi"/>
          <w:bCs/>
          <w:sz w:val="24"/>
          <w:szCs w:val="24"/>
        </w:rPr>
        <w:t xml:space="preserve">Figure 1: Summary of recommendations for immunosuppression management in the failing and failed transplant </w:t>
      </w:r>
    </w:p>
    <w:p w14:paraId="5C1D071F" w14:textId="137853E8" w:rsidR="002B285E" w:rsidRDefault="002B285E" w:rsidP="00784331">
      <w:pPr>
        <w:jc w:val="both"/>
        <w:rPr>
          <w:rFonts w:eastAsia="Arial" w:cstheme="minorHAnsi"/>
          <w:b/>
          <w:sz w:val="24"/>
          <w:szCs w:val="24"/>
        </w:rPr>
      </w:pPr>
      <w:r>
        <w:rPr>
          <w:noProof/>
        </w:rPr>
        <w:drawing>
          <wp:inline distT="0" distB="0" distL="0" distR="0" wp14:anchorId="0A37B41D" wp14:editId="6B490506">
            <wp:extent cx="5731510" cy="3172460"/>
            <wp:effectExtent l="0" t="0" r="2540" b="889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6"/>
                    <a:stretch>
                      <a:fillRect/>
                    </a:stretch>
                  </pic:blipFill>
                  <pic:spPr>
                    <a:xfrm>
                      <a:off x="0" y="0"/>
                      <a:ext cx="5731510" cy="3172460"/>
                    </a:xfrm>
                    <a:prstGeom prst="rect">
                      <a:avLst/>
                    </a:prstGeom>
                  </pic:spPr>
                </pic:pic>
              </a:graphicData>
            </a:graphic>
          </wp:inline>
        </w:drawing>
      </w:r>
    </w:p>
    <w:p w14:paraId="10AFF69B" w14:textId="3D106421" w:rsidR="00784331" w:rsidRPr="0016371F" w:rsidRDefault="00784331" w:rsidP="00784331">
      <w:pPr>
        <w:pStyle w:val="Heading4"/>
        <w:spacing w:before="0" w:after="160"/>
        <w:rPr>
          <w:rFonts w:asciiTheme="minorHAnsi" w:eastAsia="Arial" w:hAnsiTheme="minorHAnsi" w:cstheme="minorHAnsi"/>
        </w:rPr>
      </w:pPr>
      <w:bookmarkStart w:id="25" w:name="_Toc128329933"/>
      <w:r w:rsidRPr="0016371F">
        <w:rPr>
          <w:rFonts w:asciiTheme="minorHAnsi" w:eastAsia="Arial" w:hAnsiTheme="minorHAnsi" w:cstheme="minorHAnsi"/>
        </w:rPr>
        <w:t xml:space="preserve">2.2.2 </w:t>
      </w:r>
      <w:r w:rsidR="00D77243">
        <w:rPr>
          <w:rFonts w:asciiTheme="minorHAnsi" w:eastAsia="Arial" w:hAnsiTheme="minorHAnsi" w:cstheme="minorHAnsi"/>
        </w:rPr>
        <w:tab/>
      </w:r>
      <w:r w:rsidRPr="0016371F">
        <w:rPr>
          <w:rFonts w:asciiTheme="minorHAnsi" w:eastAsia="Arial" w:hAnsiTheme="minorHAnsi" w:cstheme="minorHAnsi"/>
        </w:rPr>
        <w:t>HLA-specific antibody screening</w:t>
      </w:r>
      <w:bookmarkEnd w:id="25"/>
    </w:p>
    <w:p w14:paraId="49945B38" w14:textId="77777777" w:rsidR="00784331" w:rsidRPr="0016371F" w:rsidRDefault="00784331" w:rsidP="002B285E">
      <w:pPr>
        <w:spacing w:line="276" w:lineRule="auto"/>
        <w:jc w:val="both"/>
        <w:rPr>
          <w:rFonts w:eastAsia="Arial" w:cstheme="minorHAnsi"/>
          <w:color w:val="231F20"/>
        </w:rPr>
      </w:pPr>
      <w:r w:rsidRPr="0016371F">
        <w:rPr>
          <w:rFonts w:eastAsia="Arial" w:cstheme="minorHAnsi"/>
        </w:rPr>
        <w:t>Recipients with a fail</w:t>
      </w:r>
      <w:r w:rsidRPr="0016371F">
        <w:rPr>
          <w:rFonts w:eastAsia="Arial" w:cstheme="minorHAnsi"/>
          <w:color w:val="231F20"/>
        </w:rPr>
        <w:t xml:space="preserve">ing kidney transplant are at high risk of developing </w:t>
      </w:r>
      <w:r w:rsidRPr="0016371F">
        <w:rPr>
          <w:rFonts w:eastAsia="Arial" w:cstheme="minorHAnsi"/>
          <w:i/>
          <w:color w:val="231F20"/>
        </w:rPr>
        <w:t xml:space="preserve">de novo </w:t>
      </w:r>
      <w:r w:rsidRPr="0016371F">
        <w:rPr>
          <w:rFonts w:eastAsia="Arial" w:cstheme="minorHAnsi"/>
          <w:color w:val="231F20"/>
        </w:rPr>
        <w:t xml:space="preserve">sensitisation. This is particularly the case after starting dialysis or re-listing for transplantation, when IS is commonly changed, reduced, or withdrawn. As such cRF at </w:t>
      </w:r>
      <w:r>
        <w:rPr>
          <w:rFonts w:eastAsia="Arial" w:cstheme="minorHAnsi"/>
          <w:color w:val="231F20"/>
        </w:rPr>
        <w:t xml:space="preserve">the </w:t>
      </w:r>
      <w:r w:rsidRPr="0016371F">
        <w:rPr>
          <w:rFonts w:eastAsia="Arial" w:cstheme="minorHAnsi"/>
          <w:color w:val="231F20"/>
        </w:rPr>
        <w:t>recommencement of dialysis may influence the rate at which IS is withdrawn; highly sensitised patients are less likely to experience the adverse effects of further allosensitisation from a more rapid taper.</w:t>
      </w:r>
    </w:p>
    <w:p w14:paraId="5B7C550D" w14:textId="77777777" w:rsidR="00784331" w:rsidRPr="00F9333D" w:rsidRDefault="00784331" w:rsidP="002B285E">
      <w:pPr>
        <w:spacing w:line="276" w:lineRule="auto"/>
        <w:jc w:val="both"/>
        <w:rPr>
          <w:rFonts w:eastAsia="Arial" w:cstheme="minorHAnsi"/>
          <w:color w:val="FF0000"/>
        </w:rPr>
      </w:pPr>
      <w:r w:rsidRPr="0016371F">
        <w:rPr>
          <w:rFonts w:eastAsia="Arial" w:cstheme="minorHAnsi"/>
        </w:rPr>
        <w:t>Antibody screening after graft failure and on return to the transplant waiting list should be undertaken according to the BTS/BSHI Guidelines for the Detection and Characterisation of Clinically Relevant Antibodies in Solid Organ Transplantation [2015] (https://bts.org.uk/wp-content/uploads/2016/09/06_BTS_BSHI_Antibodies-1.pdf) and Eurotransplant guidance</w:t>
      </w:r>
      <w:r w:rsidRPr="00C94890">
        <w:rPr>
          <w:rFonts w:eastAsia="Arial" w:cstheme="minorHAnsi"/>
          <w:vertAlign w:val="superscript"/>
        </w:rPr>
        <w:t>16</w:t>
      </w:r>
      <w:r w:rsidRPr="00C94890">
        <w:rPr>
          <w:rFonts w:eastAsia="Arial" w:cstheme="minorHAnsi"/>
        </w:rPr>
        <w:t>.</w:t>
      </w:r>
      <w:r w:rsidRPr="00C94890">
        <w:rPr>
          <w:rFonts w:eastAsia="Arial" w:cstheme="minorHAnsi"/>
          <w:vertAlign w:val="superscript"/>
        </w:rPr>
        <w:t xml:space="preserve"> </w:t>
      </w:r>
    </w:p>
    <w:p w14:paraId="4BD7A82B" w14:textId="77777777" w:rsidR="00784331" w:rsidRPr="0016371F" w:rsidRDefault="00784331" w:rsidP="002B285E">
      <w:pPr>
        <w:spacing w:line="276" w:lineRule="auto"/>
        <w:jc w:val="both"/>
        <w:rPr>
          <w:rFonts w:eastAsia="Arial" w:cstheme="minorHAnsi"/>
        </w:rPr>
      </w:pPr>
      <w:r w:rsidRPr="0016371F">
        <w:rPr>
          <w:rFonts w:eastAsia="Arial" w:cstheme="minorHAnsi"/>
        </w:rPr>
        <w:t>For potential kidney recipients on the waiting list</w:t>
      </w:r>
      <w:r>
        <w:rPr>
          <w:rFonts w:eastAsia="Arial" w:cstheme="minorHAnsi"/>
        </w:rPr>
        <w:t>,</w:t>
      </w:r>
      <w:r w:rsidRPr="0016371F">
        <w:rPr>
          <w:rFonts w:eastAsia="Arial" w:cstheme="minorHAnsi"/>
        </w:rPr>
        <w:t xml:space="preserve"> routine HLA-specific antibody screening must be performed every three months. For patients that are re-listed, the clinical team should notify the histocompatibility laboratory of any immunising events (blood transfusion, transplantation, pregnancy, graft removal and infections as well as vaccination and treatment with therapeutic antibodies </w:t>
      </w:r>
      <w:proofErr w:type="gramStart"/>
      <w:r w:rsidRPr="0016371F">
        <w:rPr>
          <w:rFonts w:eastAsia="Arial" w:cstheme="minorHAnsi"/>
        </w:rPr>
        <w:t>e.g.</w:t>
      </w:r>
      <w:proofErr w:type="gramEnd"/>
      <w:r w:rsidRPr="0016371F">
        <w:rPr>
          <w:rFonts w:eastAsia="Arial" w:cstheme="minorHAnsi"/>
        </w:rPr>
        <w:t xml:space="preserve"> rituximab) and send serum samples for HLA-specific antibody screening two to four weeks after these events</w:t>
      </w:r>
      <w:r w:rsidRPr="00C94890">
        <w:rPr>
          <w:rFonts w:eastAsia="Arial" w:cstheme="minorHAnsi"/>
          <w:vertAlign w:val="superscript"/>
        </w:rPr>
        <w:t>16</w:t>
      </w:r>
      <w:r w:rsidRPr="0016371F">
        <w:rPr>
          <w:rFonts w:eastAsia="Arial" w:cstheme="minorHAnsi"/>
        </w:rPr>
        <w:t>.</w:t>
      </w:r>
    </w:p>
    <w:p w14:paraId="2B5B484C" w14:textId="77777777" w:rsidR="00784331" w:rsidRPr="0016371F" w:rsidRDefault="00784331" w:rsidP="00784331">
      <w:pPr>
        <w:pStyle w:val="Heading3"/>
        <w:spacing w:before="0" w:after="160"/>
        <w:rPr>
          <w:rFonts w:asciiTheme="minorHAnsi" w:eastAsia="Arial" w:hAnsiTheme="minorHAnsi" w:cstheme="minorHAnsi"/>
        </w:rPr>
      </w:pPr>
      <w:bookmarkStart w:id="26" w:name="_Toc128329934"/>
      <w:r w:rsidRPr="0016371F">
        <w:rPr>
          <w:rFonts w:asciiTheme="minorHAnsi" w:eastAsia="Arial" w:hAnsiTheme="minorHAnsi" w:cstheme="minorHAnsi"/>
        </w:rPr>
        <w:lastRenderedPageBreak/>
        <w:t>2.3 Patient not to be considered for relisting</w:t>
      </w:r>
      <w:bookmarkEnd w:id="26"/>
      <w:r w:rsidRPr="0016371F">
        <w:rPr>
          <w:rFonts w:asciiTheme="minorHAnsi" w:eastAsia="Arial" w:hAnsiTheme="minorHAnsi" w:cstheme="minorHAnsi"/>
        </w:rPr>
        <w:t xml:space="preserve"> </w:t>
      </w:r>
    </w:p>
    <w:p w14:paraId="67F15ACE" w14:textId="77777777" w:rsidR="00784331" w:rsidRPr="0016371F" w:rsidRDefault="00784331" w:rsidP="002B285E">
      <w:pPr>
        <w:spacing w:line="276" w:lineRule="auto"/>
        <w:jc w:val="both"/>
        <w:rPr>
          <w:rFonts w:eastAsia="Arial" w:cstheme="minorHAnsi"/>
        </w:rPr>
      </w:pPr>
      <w:r w:rsidRPr="0016371F">
        <w:rPr>
          <w:rFonts w:eastAsia="Arial" w:cstheme="minorHAnsi"/>
        </w:rPr>
        <w:t>If retransplantation is not an option, then concerns about sensitisation do not apply. The management aim for these patients is to reduce the burden of unnecessary IS when no longer required, however</w:t>
      </w:r>
      <w:r>
        <w:rPr>
          <w:rFonts w:eastAsia="Arial" w:cstheme="minorHAnsi"/>
        </w:rPr>
        <w:t>,</w:t>
      </w:r>
      <w:r w:rsidRPr="0016371F">
        <w:rPr>
          <w:rFonts w:eastAsia="Arial" w:cstheme="minorHAnsi"/>
        </w:rPr>
        <w:t xml:space="preserve"> there is at yet no prospective trial data to provide specific guidance.</w:t>
      </w:r>
    </w:p>
    <w:p w14:paraId="313590D1" w14:textId="77777777" w:rsidR="00784331" w:rsidRPr="0016371F" w:rsidRDefault="00784331" w:rsidP="002B285E">
      <w:pPr>
        <w:spacing w:line="276" w:lineRule="auto"/>
        <w:jc w:val="both"/>
        <w:rPr>
          <w:rFonts w:eastAsia="Arial" w:cstheme="minorHAnsi"/>
        </w:rPr>
      </w:pPr>
      <w:r w:rsidRPr="0016371F">
        <w:rPr>
          <w:rFonts w:eastAsia="Times New Roman" w:cstheme="minorHAnsi"/>
          <w:sz w:val="24"/>
          <w:szCs w:val="24"/>
        </w:rPr>
        <w:t xml:space="preserve">The </w:t>
      </w:r>
      <w:r w:rsidRPr="0016371F">
        <w:rPr>
          <w:rFonts w:eastAsia="Arial" w:cstheme="minorHAnsi"/>
        </w:rPr>
        <w:t>increased burden of morbidity and mortality from prolonged IS is clearly recognised. This includes increased rates of malignancy, infection</w:t>
      </w:r>
      <w:r w:rsidRPr="0016371F">
        <w:rPr>
          <w:rFonts w:eastAsia="Arial" w:cstheme="minorHAnsi"/>
          <w:vertAlign w:val="superscript"/>
        </w:rPr>
        <w:t>1</w:t>
      </w:r>
      <w:r>
        <w:rPr>
          <w:rFonts w:eastAsia="Arial" w:cstheme="minorHAnsi"/>
          <w:vertAlign w:val="superscript"/>
        </w:rPr>
        <w:t>6</w:t>
      </w:r>
      <w:r w:rsidRPr="0016371F">
        <w:rPr>
          <w:rFonts w:eastAsia="Arial" w:cstheme="minorHAnsi"/>
          <w:vertAlign w:val="superscript"/>
        </w:rPr>
        <w:t>-1</w:t>
      </w:r>
      <w:r>
        <w:rPr>
          <w:rFonts w:eastAsia="Arial" w:cstheme="minorHAnsi"/>
          <w:vertAlign w:val="superscript"/>
        </w:rPr>
        <w:t>9</w:t>
      </w:r>
      <w:r w:rsidRPr="0016371F">
        <w:rPr>
          <w:rFonts w:eastAsia="Arial" w:cstheme="minorHAnsi"/>
        </w:rPr>
        <w:t>, dyslipidemia, post-transplant diabetes mellitus (PTDM) and cardiovascular disease. A recent study of 131 failing transplant recipients</w:t>
      </w:r>
      <w:r>
        <w:rPr>
          <w:rFonts w:eastAsia="Arial" w:cstheme="minorHAnsi"/>
          <w:vertAlign w:val="superscript"/>
        </w:rPr>
        <w:t>20</w:t>
      </w:r>
      <w:r w:rsidRPr="0016371F">
        <w:rPr>
          <w:rFonts w:eastAsia="Arial" w:cstheme="minorHAnsi"/>
        </w:rPr>
        <w:t xml:space="preserve"> demonstrated that maintaining IS 6 months after allograft failure (prednisolone &gt;10mg or more than two IS drugs) elevated the risk of all-cause mortality approximately three-fold compared to patients on no IS or prednisolone &lt;10mg. Similarly, Friest et al found significantly higher infection rates in those on prolonged corticosteroids (&gt;3 months) versus early cessation in multivariate analysis of a retrospective cohort</w:t>
      </w:r>
      <w:r>
        <w:rPr>
          <w:rFonts w:eastAsia="Arial" w:cstheme="minorHAnsi"/>
        </w:rPr>
        <w:t>,</w:t>
      </w:r>
      <w:r w:rsidRPr="0016371F">
        <w:rPr>
          <w:rFonts w:eastAsia="Arial" w:cstheme="minorHAnsi"/>
        </w:rPr>
        <w:t xml:space="preserve"> but no difference in </w:t>
      </w:r>
      <w:r>
        <w:rPr>
          <w:rFonts w:eastAsia="Arial" w:cstheme="minorHAnsi"/>
        </w:rPr>
        <w:t xml:space="preserve">the </w:t>
      </w:r>
      <w:r w:rsidRPr="0016371F">
        <w:rPr>
          <w:rFonts w:eastAsia="Arial" w:cstheme="minorHAnsi"/>
        </w:rPr>
        <w:t xml:space="preserve">development of DSA. </w:t>
      </w:r>
    </w:p>
    <w:p w14:paraId="6F015EB1" w14:textId="77777777" w:rsidR="00784331" w:rsidRPr="0016371F" w:rsidRDefault="00784331" w:rsidP="002B285E">
      <w:pPr>
        <w:spacing w:line="276" w:lineRule="auto"/>
        <w:jc w:val="both"/>
        <w:rPr>
          <w:rFonts w:eastAsia="Arial" w:cstheme="minorHAnsi"/>
        </w:rPr>
      </w:pPr>
      <w:r w:rsidRPr="0016371F">
        <w:rPr>
          <w:rFonts w:eastAsia="Times New Roman" w:cstheme="minorHAnsi"/>
          <w:sz w:val="24"/>
          <w:szCs w:val="24"/>
        </w:rPr>
        <w:t xml:space="preserve"> </w:t>
      </w:r>
      <w:r w:rsidRPr="0016371F">
        <w:rPr>
          <w:rFonts w:eastAsia="Arial" w:cstheme="minorHAnsi"/>
        </w:rPr>
        <w:t xml:space="preserve">In contrast, the risks of withdrawal of IS include: </w:t>
      </w:r>
    </w:p>
    <w:p w14:paraId="229A920E" w14:textId="77777777" w:rsidR="00784331" w:rsidRPr="0016371F" w:rsidRDefault="00784331">
      <w:pPr>
        <w:numPr>
          <w:ilvl w:val="0"/>
          <w:numId w:val="4"/>
        </w:numPr>
        <w:spacing w:line="276" w:lineRule="auto"/>
        <w:jc w:val="both"/>
        <w:rPr>
          <w:rFonts w:eastAsia="Arial" w:cstheme="minorHAnsi"/>
          <w:sz w:val="24"/>
          <w:szCs w:val="24"/>
        </w:rPr>
      </w:pPr>
      <w:r w:rsidRPr="0016371F">
        <w:rPr>
          <w:rFonts w:eastAsia="Arial" w:cstheme="minorHAnsi"/>
        </w:rPr>
        <w:t>precipitation of graft intolerance syndrome and the potential need for transplant nephrectomy</w:t>
      </w:r>
      <w:r w:rsidRPr="00C94890">
        <w:rPr>
          <w:rFonts w:eastAsia="Arial" w:cstheme="minorHAnsi"/>
          <w:vertAlign w:val="superscript"/>
        </w:rPr>
        <w:t>3</w:t>
      </w:r>
      <w:r w:rsidRPr="0016371F">
        <w:rPr>
          <w:rFonts w:eastAsia="Arial" w:cstheme="minorHAnsi"/>
          <w:vertAlign w:val="superscript"/>
        </w:rPr>
        <w:t>,</w:t>
      </w:r>
      <w:r>
        <w:rPr>
          <w:rFonts w:eastAsia="Arial" w:cstheme="minorHAnsi"/>
          <w:vertAlign w:val="superscript"/>
        </w:rPr>
        <w:t>21</w:t>
      </w:r>
    </w:p>
    <w:p w14:paraId="1EE1F057" w14:textId="77777777" w:rsidR="00784331" w:rsidRPr="0016371F" w:rsidRDefault="00784331">
      <w:pPr>
        <w:numPr>
          <w:ilvl w:val="0"/>
          <w:numId w:val="4"/>
        </w:numPr>
        <w:spacing w:line="276" w:lineRule="auto"/>
        <w:jc w:val="both"/>
        <w:rPr>
          <w:rFonts w:eastAsia="Arial" w:cstheme="minorHAnsi"/>
          <w:sz w:val="24"/>
          <w:szCs w:val="24"/>
        </w:rPr>
      </w:pPr>
      <w:r w:rsidRPr="0016371F">
        <w:rPr>
          <w:rFonts w:eastAsia="Arial" w:cstheme="minorHAnsi"/>
        </w:rPr>
        <w:t>loss of residual renal function</w:t>
      </w:r>
      <w:r>
        <w:rPr>
          <w:rFonts w:eastAsia="Arial" w:cstheme="minorHAnsi"/>
          <w:vertAlign w:val="superscript"/>
        </w:rPr>
        <w:t>10</w:t>
      </w:r>
    </w:p>
    <w:p w14:paraId="5CCDF77F" w14:textId="77777777" w:rsidR="00784331" w:rsidRPr="0016371F" w:rsidRDefault="00784331">
      <w:pPr>
        <w:numPr>
          <w:ilvl w:val="0"/>
          <w:numId w:val="4"/>
        </w:numPr>
        <w:spacing w:line="276" w:lineRule="auto"/>
        <w:jc w:val="both"/>
        <w:rPr>
          <w:rFonts w:eastAsia="Arial" w:cstheme="minorHAnsi"/>
          <w:sz w:val="24"/>
          <w:szCs w:val="24"/>
        </w:rPr>
      </w:pPr>
      <w:r w:rsidRPr="0016371F">
        <w:rPr>
          <w:rFonts w:eastAsia="Arial" w:cstheme="minorHAnsi"/>
        </w:rPr>
        <w:t>secondary adrenal insufficiency following cessation of corticosteroids</w:t>
      </w:r>
      <w:r w:rsidRPr="0016371F">
        <w:rPr>
          <w:rFonts w:eastAsia="Arial" w:cstheme="minorHAnsi"/>
          <w:vertAlign w:val="superscript"/>
        </w:rPr>
        <w:t>2</w:t>
      </w:r>
      <w:r>
        <w:rPr>
          <w:rFonts w:eastAsia="Arial" w:cstheme="minorHAnsi"/>
          <w:vertAlign w:val="superscript"/>
        </w:rPr>
        <w:t>2</w:t>
      </w:r>
    </w:p>
    <w:p w14:paraId="649C9E53" w14:textId="77777777" w:rsidR="00784331" w:rsidRPr="0016371F" w:rsidRDefault="00784331" w:rsidP="00346D2E">
      <w:pPr>
        <w:pStyle w:val="ListParagraph"/>
        <w:numPr>
          <w:ilvl w:val="0"/>
          <w:numId w:val="4"/>
        </w:numPr>
        <w:rPr>
          <w:sz w:val="24"/>
          <w:szCs w:val="24"/>
        </w:rPr>
      </w:pPr>
      <w:r w:rsidRPr="0016371F">
        <w:t>erythropoietin resistance related to the chronic inflammatory stimulus of the graft (although this is balanced by the myelotoxicity associated with some agents)</w:t>
      </w:r>
    </w:p>
    <w:p w14:paraId="6772B22A" w14:textId="77777777" w:rsidR="00784331" w:rsidRPr="0016371F" w:rsidRDefault="00784331" w:rsidP="002B285E">
      <w:pPr>
        <w:spacing w:line="276" w:lineRule="auto"/>
        <w:jc w:val="both"/>
        <w:rPr>
          <w:rFonts w:eastAsia="Arial" w:cstheme="minorHAnsi"/>
        </w:rPr>
      </w:pPr>
      <w:r w:rsidRPr="0016371F">
        <w:rPr>
          <w:rFonts w:eastAsia="Arial" w:cstheme="minorHAnsi"/>
        </w:rPr>
        <w:t xml:space="preserve">There is no clear evidence to guide </w:t>
      </w:r>
      <w:r>
        <w:rPr>
          <w:rFonts w:eastAsia="Arial" w:cstheme="minorHAnsi"/>
        </w:rPr>
        <w:t xml:space="preserve">the </w:t>
      </w:r>
      <w:r w:rsidRPr="0016371F">
        <w:rPr>
          <w:rFonts w:eastAsia="Arial" w:cstheme="minorHAnsi"/>
        </w:rPr>
        <w:t xml:space="preserve">optimal management of IS in patients with late graft failure.  A staged approach to IS withdrawal is usually considered appropriate. This is </w:t>
      </w:r>
      <w:r>
        <w:rPr>
          <w:rFonts w:eastAsia="Arial" w:cstheme="minorHAnsi"/>
        </w:rPr>
        <w:t>practised</w:t>
      </w:r>
      <w:r w:rsidRPr="0016371F">
        <w:rPr>
          <w:rFonts w:eastAsia="Arial" w:cstheme="minorHAnsi"/>
        </w:rPr>
        <w:t xml:space="preserve"> by most centres, with discontinuation of anti-metabolites, tapering CNI over several weeks and prednisolone over 3- 6 months</w:t>
      </w:r>
      <w:r w:rsidRPr="0016371F">
        <w:rPr>
          <w:rFonts w:eastAsia="Arial" w:cstheme="minorHAnsi"/>
          <w:vertAlign w:val="superscript"/>
        </w:rPr>
        <w:t>1</w:t>
      </w:r>
      <w:r>
        <w:rPr>
          <w:rFonts w:eastAsia="Arial" w:cstheme="minorHAnsi"/>
          <w:vertAlign w:val="superscript"/>
        </w:rPr>
        <w:t>5</w:t>
      </w:r>
      <w:r w:rsidRPr="0016371F">
        <w:rPr>
          <w:rFonts w:eastAsia="Arial" w:cstheme="minorHAnsi"/>
          <w:vertAlign w:val="superscript"/>
        </w:rPr>
        <w:t>, 2</w:t>
      </w:r>
      <w:r>
        <w:rPr>
          <w:rFonts w:eastAsia="Arial" w:cstheme="minorHAnsi"/>
          <w:vertAlign w:val="superscript"/>
        </w:rPr>
        <w:t>3</w:t>
      </w:r>
      <w:r w:rsidRPr="0016371F">
        <w:rPr>
          <w:rFonts w:eastAsia="Arial" w:cstheme="minorHAnsi"/>
        </w:rPr>
        <w:t xml:space="preserve">. </w:t>
      </w:r>
    </w:p>
    <w:p w14:paraId="3629D132" w14:textId="77777777" w:rsidR="00784331" w:rsidRPr="0016371F" w:rsidRDefault="00784331" w:rsidP="002B285E">
      <w:pPr>
        <w:spacing w:line="276" w:lineRule="auto"/>
        <w:jc w:val="both"/>
        <w:rPr>
          <w:rFonts w:eastAsia="Arial" w:cstheme="minorHAnsi"/>
        </w:rPr>
      </w:pPr>
      <w:r w:rsidRPr="0016371F">
        <w:rPr>
          <w:rFonts w:eastAsia="Arial" w:cstheme="minorHAnsi"/>
        </w:rPr>
        <w:t>It is recommended that steroids are the last component to be withdrawn. To minimise the risk of iatrogenic hypoadrenalism, prednisolone should not be withdrawn faster than 1 mg per month once the dose is below 5 mg daily. In the event of clinical manifestations of adrenal insufficiency such as hypotension or hypoglycaemia, it is appropriate to reintroduce steroids at the previous dose and to attempt a slower steroid taper.</w:t>
      </w:r>
    </w:p>
    <w:p w14:paraId="7D4B4021" w14:textId="77777777" w:rsidR="00784331" w:rsidRPr="0016371F" w:rsidRDefault="00784331" w:rsidP="00784331">
      <w:pPr>
        <w:pStyle w:val="Heading3"/>
        <w:spacing w:before="0" w:after="160"/>
        <w:rPr>
          <w:rFonts w:eastAsia="Arial"/>
        </w:rPr>
      </w:pPr>
      <w:bookmarkStart w:id="27" w:name="_Toc128329935"/>
      <w:r w:rsidRPr="0016371F">
        <w:rPr>
          <w:rFonts w:eastAsia="Arial"/>
        </w:rPr>
        <w:t>2.4 Graft Intolerance Syndrome</w:t>
      </w:r>
      <w:bookmarkEnd w:id="27"/>
    </w:p>
    <w:p w14:paraId="4AE83171" w14:textId="77777777" w:rsidR="00784331" w:rsidRPr="0016371F" w:rsidRDefault="00784331" w:rsidP="002B285E">
      <w:pPr>
        <w:spacing w:line="276" w:lineRule="auto"/>
        <w:jc w:val="both"/>
        <w:rPr>
          <w:rFonts w:eastAsia="Arial" w:cstheme="minorHAnsi"/>
        </w:rPr>
      </w:pPr>
      <w:r w:rsidRPr="0016371F">
        <w:rPr>
          <w:rFonts w:eastAsia="Arial" w:cstheme="minorHAnsi"/>
        </w:rPr>
        <w:t>Graft intolerance syndrome, due to a severe acute rejection with manifestations such as pain over the graft,</w:t>
      </w:r>
      <w:r w:rsidRPr="0016371F">
        <w:rPr>
          <w:rFonts w:eastAsia="Arial" w:cstheme="minorHAnsi"/>
          <w:color w:val="231F20"/>
        </w:rPr>
        <w:t xml:space="preserve"> fever, haematuria, raised inflammatory markers and thrombocytopenia is a recognised complication of IS withdrawal and </w:t>
      </w:r>
      <w:r>
        <w:rPr>
          <w:rFonts w:eastAsia="Arial" w:cstheme="minorHAnsi"/>
          <w:color w:val="231F20"/>
        </w:rPr>
        <w:t xml:space="preserve">is </w:t>
      </w:r>
      <w:r w:rsidRPr="0016371F">
        <w:rPr>
          <w:rFonts w:eastAsia="Arial" w:cstheme="minorHAnsi"/>
          <w:color w:val="231F20"/>
        </w:rPr>
        <w:t xml:space="preserve">described in up to 50% of patients if </w:t>
      </w:r>
      <w:r>
        <w:rPr>
          <w:rFonts w:eastAsia="Arial" w:cstheme="minorHAnsi"/>
          <w:color w:val="231F20"/>
        </w:rPr>
        <w:t xml:space="preserve">the </w:t>
      </w:r>
      <w:r w:rsidRPr="0016371F">
        <w:rPr>
          <w:rFonts w:eastAsia="Arial" w:cstheme="minorHAnsi"/>
          <w:color w:val="231F20"/>
        </w:rPr>
        <w:t>withdrawal has been rapid</w:t>
      </w:r>
      <w:r w:rsidRPr="0016371F">
        <w:rPr>
          <w:rFonts w:eastAsia="Arial" w:cstheme="minorHAnsi"/>
          <w:color w:val="231F20"/>
          <w:vertAlign w:val="superscript"/>
        </w:rPr>
        <w:t>2</w:t>
      </w:r>
      <w:r>
        <w:rPr>
          <w:rFonts w:eastAsia="Arial" w:cstheme="minorHAnsi"/>
          <w:color w:val="231F20"/>
          <w:vertAlign w:val="superscript"/>
        </w:rPr>
        <w:t>4</w:t>
      </w:r>
      <w:r w:rsidRPr="0016371F">
        <w:rPr>
          <w:rFonts w:eastAsia="Arial" w:cstheme="minorHAnsi"/>
          <w:color w:val="231F20"/>
        </w:rPr>
        <w:t xml:space="preserve">. Following a retrospective review of 149 recipients, Delgado </w:t>
      </w:r>
      <w:r w:rsidRPr="0016371F">
        <w:rPr>
          <w:rFonts w:eastAsia="Arial" w:cstheme="minorHAnsi"/>
          <w:i/>
          <w:iCs/>
          <w:color w:val="231F20"/>
        </w:rPr>
        <w:t xml:space="preserve">et </w:t>
      </w:r>
      <w:r w:rsidRPr="0016371F">
        <w:rPr>
          <w:rFonts w:eastAsia="Arial" w:cstheme="minorHAnsi"/>
          <w:color w:val="231F20"/>
        </w:rPr>
        <w:t>al</w:t>
      </w:r>
      <w:r w:rsidRPr="0016371F">
        <w:rPr>
          <w:rFonts w:eastAsia="Arial" w:cstheme="minorHAnsi"/>
          <w:color w:val="231F20"/>
          <w:vertAlign w:val="superscript"/>
        </w:rPr>
        <w:t>2</w:t>
      </w:r>
      <w:r>
        <w:rPr>
          <w:rFonts w:eastAsia="Arial" w:cstheme="minorHAnsi"/>
          <w:color w:val="231F20"/>
          <w:vertAlign w:val="superscript"/>
        </w:rPr>
        <w:t>5</w:t>
      </w:r>
      <w:r w:rsidRPr="0016371F">
        <w:rPr>
          <w:rFonts w:eastAsia="Arial" w:cstheme="minorHAnsi"/>
          <w:color w:val="231F20"/>
        </w:rPr>
        <w:t xml:space="preserve"> reported that most graft intolerance episodes occurred within 6 months and virtually all presented within 2 years of graft failure. Consequently, monitoring should be most vigilant for the first year following </w:t>
      </w:r>
      <w:r>
        <w:rPr>
          <w:rFonts w:eastAsia="Arial" w:cstheme="minorHAnsi"/>
          <w:color w:val="231F20"/>
        </w:rPr>
        <w:t xml:space="preserve">the </w:t>
      </w:r>
      <w:r w:rsidRPr="0016371F">
        <w:rPr>
          <w:rFonts w:eastAsia="Arial" w:cstheme="minorHAnsi"/>
          <w:color w:val="231F20"/>
        </w:rPr>
        <w:t xml:space="preserve">transition to dialysis. In this event, steroid therapy should be immediately reinstituted according to local practice (employed strategies include 20mg or 1mg/kg prednisolone daily or pulsed IV methylprednisolone 500mg) followed by transplant nephrectomy when the acute inflammation has settled. Woodside </w:t>
      </w:r>
      <w:r w:rsidRPr="0016371F">
        <w:rPr>
          <w:rFonts w:eastAsia="Arial" w:cstheme="minorHAnsi"/>
          <w:i/>
          <w:iCs/>
          <w:color w:val="231F20"/>
        </w:rPr>
        <w:t>et al</w:t>
      </w:r>
      <w:r w:rsidRPr="0016371F">
        <w:rPr>
          <w:rFonts w:eastAsia="Arial" w:cstheme="minorHAnsi"/>
          <w:color w:val="231F20"/>
        </w:rPr>
        <w:t xml:space="preserve"> found that 38% of </w:t>
      </w:r>
      <w:r w:rsidRPr="0016371F">
        <w:rPr>
          <w:rFonts w:eastAsia="Arial" w:cstheme="minorHAnsi"/>
          <w:color w:val="231F20"/>
          <w:highlight w:val="white"/>
        </w:rPr>
        <w:t>febrile hospitalised RFKT who had been weaned of IS before admi</w:t>
      </w:r>
      <w:r w:rsidRPr="0016371F">
        <w:rPr>
          <w:rFonts w:eastAsia="Arial" w:cstheme="minorHAnsi"/>
          <w:highlight w:val="white"/>
        </w:rPr>
        <w:t>ssion had documented infection, inferring the remainder had graft intolerance syndrome in contrast to 88% of patients maintained on IS having documented infection (P&lt;0.001).</w:t>
      </w:r>
      <w:r w:rsidRPr="0016371F">
        <w:rPr>
          <w:rFonts w:eastAsia="Arial" w:cstheme="minorHAnsi"/>
        </w:rPr>
        <w:t xml:space="preserve"> A multivariate analysis of a </w:t>
      </w:r>
      <w:r w:rsidRPr="0016371F">
        <w:rPr>
          <w:rFonts w:eastAsia="Arial" w:cstheme="minorHAnsi"/>
        </w:rPr>
        <w:lastRenderedPageBreak/>
        <w:t>retrospective cohort indicated that older donor age, shorter graft survival and higher number of rejection episodes were predictive of graft intolerance syndrome necessitating nephrectomy</w:t>
      </w:r>
      <w:r w:rsidRPr="0016371F">
        <w:rPr>
          <w:rFonts w:eastAsia="Arial" w:cstheme="minorHAnsi"/>
          <w:vertAlign w:val="superscript"/>
        </w:rPr>
        <w:t>2</w:t>
      </w:r>
      <w:r>
        <w:rPr>
          <w:rFonts w:eastAsia="Arial" w:cstheme="minorHAnsi"/>
          <w:vertAlign w:val="superscript"/>
        </w:rPr>
        <w:t>6</w:t>
      </w:r>
      <w:r w:rsidRPr="0016371F">
        <w:rPr>
          <w:rFonts w:eastAsia="Arial" w:cstheme="minorHAnsi"/>
        </w:rPr>
        <w:t>.</w:t>
      </w:r>
    </w:p>
    <w:p w14:paraId="48BD94D7" w14:textId="77777777" w:rsidR="00784331" w:rsidRPr="0016371F" w:rsidRDefault="00784331" w:rsidP="00784331">
      <w:pPr>
        <w:pStyle w:val="Heading3"/>
        <w:spacing w:before="0" w:after="160"/>
        <w:rPr>
          <w:rFonts w:asciiTheme="minorHAnsi" w:eastAsia="Arial" w:hAnsiTheme="minorHAnsi" w:cstheme="minorHAnsi"/>
        </w:rPr>
      </w:pPr>
      <w:bookmarkStart w:id="28" w:name="_Toc128329936"/>
      <w:r w:rsidRPr="0016371F">
        <w:rPr>
          <w:rFonts w:asciiTheme="minorHAnsi" w:eastAsia="Arial" w:hAnsiTheme="minorHAnsi" w:cstheme="minorHAnsi"/>
        </w:rPr>
        <w:t>2.5 Management of immunosuppression following transplant nephrectomy</w:t>
      </w:r>
      <w:bookmarkEnd w:id="28"/>
    </w:p>
    <w:p w14:paraId="2C03DF50" w14:textId="77777777" w:rsidR="00784331" w:rsidRPr="0016371F" w:rsidRDefault="00784331" w:rsidP="002B285E">
      <w:pPr>
        <w:spacing w:line="276" w:lineRule="auto"/>
        <w:jc w:val="both"/>
        <w:rPr>
          <w:rFonts w:eastAsia="Arial" w:cstheme="minorHAnsi"/>
        </w:rPr>
      </w:pPr>
      <w:r w:rsidRPr="0016371F">
        <w:rPr>
          <w:rFonts w:eastAsia="Arial" w:cstheme="minorHAnsi"/>
        </w:rPr>
        <w:t xml:space="preserve">There is no clear evidence for the management of IS following transplant nephrectomy, but we suggest that the time since transplant is considered. </w:t>
      </w:r>
    </w:p>
    <w:p w14:paraId="2B9AC66C" w14:textId="77777777" w:rsidR="00784331" w:rsidRPr="0016371F" w:rsidRDefault="00784331" w:rsidP="002B285E">
      <w:pPr>
        <w:spacing w:line="276" w:lineRule="auto"/>
        <w:jc w:val="both"/>
        <w:rPr>
          <w:rFonts w:eastAsia="Arial" w:cstheme="minorHAnsi"/>
        </w:rPr>
      </w:pPr>
      <w:r w:rsidRPr="006A49CB">
        <w:rPr>
          <w:rFonts w:eastAsia="Arial" w:cstheme="minorHAnsi"/>
          <w:b/>
          <w:bCs/>
        </w:rPr>
        <w:t>Immediate:</w:t>
      </w:r>
      <w:r w:rsidRPr="0016371F">
        <w:rPr>
          <w:rFonts w:eastAsia="Arial" w:cstheme="minorHAnsi"/>
        </w:rPr>
        <w:t xml:space="preserve"> if there has been complete removal of all donor tissue there is no need for ongoing immunosuppression.</w:t>
      </w:r>
    </w:p>
    <w:p w14:paraId="6BBAE636" w14:textId="77777777" w:rsidR="00784331" w:rsidRPr="0016371F" w:rsidRDefault="00784331" w:rsidP="002B285E">
      <w:pPr>
        <w:spacing w:line="276" w:lineRule="auto"/>
        <w:jc w:val="both"/>
        <w:rPr>
          <w:rFonts w:eastAsia="Arial" w:cstheme="minorHAnsi"/>
        </w:rPr>
      </w:pPr>
      <w:r w:rsidRPr="006A49CB">
        <w:rPr>
          <w:rFonts w:eastAsia="Arial" w:cstheme="minorHAnsi"/>
          <w:b/>
          <w:bCs/>
        </w:rPr>
        <w:t xml:space="preserve">Early (within the first few days):  </w:t>
      </w:r>
      <w:r w:rsidRPr="0016371F">
        <w:rPr>
          <w:rFonts w:eastAsia="Arial" w:cstheme="minorHAnsi"/>
        </w:rPr>
        <w:t>transplantation should be considered a significant sensitising event, with HLA antibodies developing even in patients who have subsequently undergone nephrectomy within 24 hours</w:t>
      </w:r>
      <w:r w:rsidRPr="0016371F">
        <w:rPr>
          <w:rFonts w:eastAsia="Arial" w:cstheme="minorHAnsi"/>
          <w:vertAlign w:val="superscript"/>
        </w:rPr>
        <w:t>2</w:t>
      </w:r>
      <w:r>
        <w:rPr>
          <w:rFonts w:eastAsia="Arial" w:cstheme="minorHAnsi"/>
          <w:vertAlign w:val="superscript"/>
        </w:rPr>
        <w:t>7</w:t>
      </w:r>
      <w:r w:rsidRPr="0016371F">
        <w:rPr>
          <w:rFonts w:eastAsia="Arial" w:cstheme="minorHAnsi"/>
        </w:rPr>
        <w:t>. We</w:t>
      </w:r>
      <w:r>
        <w:rPr>
          <w:rFonts w:eastAsia="Arial" w:cstheme="minorHAnsi"/>
        </w:rPr>
        <w:t>, therefore,</w:t>
      </w:r>
      <w:r w:rsidRPr="0016371F">
        <w:rPr>
          <w:rFonts w:eastAsia="Arial" w:cstheme="minorHAnsi"/>
        </w:rPr>
        <w:t xml:space="preserve"> suggest gradual withdrawal of IS rather than abrupt cessation.</w:t>
      </w:r>
    </w:p>
    <w:p w14:paraId="7C1EA2AB" w14:textId="77777777" w:rsidR="00784331" w:rsidRPr="0016371F" w:rsidRDefault="00784331" w:rsidP="002B285E">
      <w:pPr>
        <w:spacing w:line="276" w:lineRule="auto"/>
        <w:jc w:val="both"/>
        <w:rPr>
          <w:rFonts w:eastAsia="Arial" w:cstheme="minorHAnsi"/>
        </w:rPr>
      </w:pPr>
      <w:r w:rsidRPr="006A49CB">
        <w:rPr>
          <w:rFonts w:eastAsia="Arial" w:cstheme="minorHAnsi"/>
          <w:b/>
          <w:bCs/>
        </w:rPr>
        <w:t>Late:</w:t>
      </w:r>
      <w:r w:rsidRPr="0016371F">
        <w:rPr>
          <w:rFonts w:eastAsia="Arial" w:cstheme="minorHAnsi"/>
        </w:rPr>
        <w:t xml:space="preserve"> substantial amounts of donor tissue may remain. If re-transplantation is planned, IS withdrawal should be gradual and at a rate </w:t>
      </w:r>
      <w:proofErr w:type="gramStart"/>
      <w:r w:rsidRPr="0016371F">
        <w:rPr>
          <w:rFonts w:eastAsia="Arial" w:cstheme="minorHAnsi"/>
        </w:rPr>
        <w:t>similar to</w:t>
      </w:r>
      <w:proofErr w:type="gramEnd"/>
      <w:r w:rsidRPr="0016371F">
        <w:rPr>
          <w:rFonts w:eastAsia="Arial" w:cstheme="minorHAnsi"/>
        </w:rPr>
        <w:t xml:space="preserve"> that of recipients who have returned to dialysis with a transplant </w:t>
      </w:r>
      <w:r w:rsidRPr="0016371F">
        <w:rPr>
          <w:rFonts w:eastAsia="Arial" w:cstheme="minorHAnsi"/>
          <w:i/>
          <w:iCs/>
        </w:rPr>
        <w:t>in situ</w:t>
      </w:r>
      <w:r w:rsidRPr="0016371F">
        <w:rPr>
          <w:rFonts w:eastAsia="Arial" w:cstheme="minorHAnsi"/>
        </w:rPr>
        <w:t>. If re-transplantation is not planned, IS withdrawal can be more rapid, with the caveat above.</w:t>
      </w:r>
    </w:p>
    <w:p w14:paraId="3E538078" w14:textId="2A0269D3" w:rsidR="00784331" w:rsidRPr="0016371F" w:rsidRDefault="00784331" w:rsidP="00784331">
      <w:pPr>
        <w:pStyle w:val="Heading2"/>
        <w:spacing w:before="0" w:after="160"/>
        <w:rPr>
          <w:rFonts w:asciiTheme="minorHAnsi" w:eastAsia="Arial" w:hAnsiTheme="minorHAnsi" w:cstheme="minorHAnsi"/>
        </w:rPr>
      </w:pPr>
      <w:bookmarkStart w:id="29" w:name="_Toc128329937"/>
      <w:r w:rsidRPr="0016371F">
        <w:rPr>
          <w:rFonts w:asciiTheme="minorHAnsi" w:eastAsia="Arial" w:hAnsiTheme="minorHAnsi" w:cstheme="minorHAnsi"/>
        </w:rPr>
        <w:t>R</w:t>
      </w:r>
      <w:r w:rsidR="00E4067E">
        <w:rPr>
          <w:rFonts w:asciiTheme="minorHAnsi" w:eastAsia="Arial" w:hAnsiTheme="minorHAnsi" w:cstheme="minorHAnsi"/>
        </w:rPr>
        <w:t>eferences</w:t>
      </w:r>
      <w:bookmarkEnd w:id="29"/>
    </w:p>
    <w:p w14:paraId="2474494C" w14:textId="77777777" w:rsidR="00784331" w:rsidRDefault="00784331" w:rsidP="00346D2E">
      <w:pPr>
        <w:pStyle w:val="ListParagraph"/>
        <w:numPr>
          <w:ilvl w:val="0"/>
          <w:numId w:val="5"/>
        </w:numPr>
      </w:pPr>
      <w:r>
        <w:t>UK renal registry 24</w:t>
      </w:r>
      <w:r w:rsidRPr="00C94890">
        <w:rPr>
          <w:vertAlign w:val="superscript"/>
        </w:rPr>
        <w:t>th</w:t>
      </w:r>
      <w:r>
        <w:t xml:space="preserve"> annual report. </w:t>
      </w:r>
      <w:r w:rsidRPr="00C94890">
        <w:t>https://ukkidney.org/sites/renal.org/files/publication/file-attachments/24th_UKRR_ANNUAL_REPORT_BOOK%20version%203_0.pdf</w:t>
      </w:r>
    </w:p>
    <w:p w14:paraId="0162DAAA" w14:textId="77777777" w:rsidR="002B285E" w:rsidRDefault="00784331" w:rsidP="00346D2E">
      <w:pPr>
        <w:pStyle w:val="ListParagraph"/>
        <w:numPr>
          <w:ilvl w:val="0"/>
          <w:numId w:val="5"/>
        </w:numPr>
      </w:pPr>
      <w:r w:rsidRPr="0016371F">
        <w:t>Scornik JC, Kriesche HM. Human leukocyte antigen sensitization after transplant loss: timing of antibody detection and implications for prevention. Human Immunology 2011: 72: 398–401.</w:t>
      </w:r>
    </w:p>
    <w:p w14:paraId="789A2B78" w14:textId="77777777" w:rsidR="002B285E" w:rsidRDefault="00784331" w:rsidP="00346D2E">
      <w:pPr>
        <w:pStyle w:val="ListParagraph"/>
        <w:numPr>
          <w:ilvl w:val="0"/>
          <w:numId w:val="5"/>
        </w:numPr>
      </w:pPr>
      <w:r w:rsidRPr="002B285E">
        <w:t>Augustine JJ, Woodside KJ, Padiyar A, Sanchez EQ, Hricik DE, Schulak JA: Independent of nephrectomy, weaning immunosuppression leads to late sensitization after kidney transplant failure. Transplantation 94:738–743, 2012</w:t>
      </w:r>
    </w:p>
    <w:p w14:paraId="10B2AAB8" w14:textId="24269E78" w:rsidR="00784331" w:rsidRPr="002B285E" w:rsidRDefault="00784331" w:rsidP="00346D2E">
      <w:pPr>
        <w:pStyle w:val="ListParagraph"/>
        <w:numPr>
          <w:ilvl w:val="0"/>
          <w:numId w:val="5"/>
        </w:numPr>
      </w:pPr>
      <w:r w:rsidRPr="002B285E">
        <w:rPr>
          <w:highlight w:val="white"/>
        </w:rPr>
        <w:t>Del Bello A, Congy-Jolivet N, Sallusto F, Guilbeau-Frugier C, Cardeau-Desangles I, Fort M, Esposito L, Guitard J, Cointault O, Lavayssie` re L, Nogier MB, Blancher A, Rostaing L, Kamar N: Donor-specific antibodies after ceasing immunosuppressive therapy, with or without an allograft nephrectomy. Clin J Am Soc Nephrol 7: 1310–1319, 2012</w:t>
      </w:r>
    </w:p>
    <w:p w14:paraId="4DAB7AAB" w14:textId="77777777" w:rsidR="00784331" w:rsidRPr="0016371F" w:rsidRDefault="00784331" w:rsidP="00346D2E">
      <w:pPr>
        <w:pStyle w:val="ListParagraph"/>
        <w:numPr>
          <w:ilvl w:val="0"/>
          <w:numId w:val="5"/>
        </w:numPr>
      </w:pPr>
      <w:r w:rsidRPr="0016371F">
        <w:t>Bayliss GP, Gohh RY, Morrissey PE, Rodrigue JR, Mandelbrot DA. Immunosuppression after renal allograft failure: a survey of US practices. Clin Transplant. 2013;27(6):895-900.</w:t>
      </w:r>
    </w:p>
    <w:p w14:paraId="4704C2FD" w14:textId="77777777" w:rsidR="00784331" w:rsidRPr="0016371F" w:rsidRDefault="00784331" w:rsidP="00346D2E">
      <w:pPr>
        <w:pStyle w:val="ListParagraph"/>
        <w:numPr>
          <w:ilvl w:val="0"/>
          <w:numId w:val="5"/>
        </w:numPr>
      </w:pPr>
      <w:r w:rsidRPr="007E02DA">
        <w:t xml:space="preserve">Alhamad T, Lubetzky M, Lentine KL, et al. </w:t>
      </w:r>
      <w:r w:rsidRPr="0016371F">
        <w:t>Kidney recipients with allograft failure, transition of kidney care (KRAFT): A survey of contemporary practices of transplant providers. Am J Transplant. 2021.</w:t>
      </w:r>
    </w:p>
    <w:p w14:paraId="0BC1A68F" w14:textId="77777777" w:rsidR="00784331" w:rsidRPr="0016371F" w:rsidRDefault="00784331" w:rsidP="00346D2E">
      <w:pPr>
        <w:pStyle w:val="ListParagraph"/>
        <w:numPr>
          <w:ilvl w:val="0"/>
          <w:numId w:val="5"/>
        </w:numPr>
        <w:rPr>
          <w:highlight w:val="white"/>
        </w:rPr>
      </w:pPr>
      <w:r w:rsidRPr="0016371F">
        <w:rPr>
          <w:highlight w:val="white"/>
        </w:rPr>
        <w:t xml:space="preserve">Lea‐Henry, T. and Chacko, B., 2018. Management considerations in the failing renal allograft. </w:t>
      </w:r>
      <w:r w:rsidRPr="0016371F">
        <w:rPr>
          <w:i/>
          <w:highlight w:val="white"/>
        </w:rPr>
        <w:t>Nephrology</w:t>
      </w:r>
      <w:r w:rsidRPr="0016371F">
        <w:rPr>
          <w:highlight w:val="white"/>
        </w:rPr>
        <w:t xml:space="preserve">, </w:t>
      </w:r>
      <w:r w:rsidRPr="0016371F">
        <w:rPr>
          <w:i/>
          <w:highlight w:val="white"/>
        </w:rPr>
        <w:t>23</w:t>
      </w:r>
      <w:r w:rsidRPr="0016371F">
        <w:rPr>
          <w:highlight w:val="white"/>
        </w:rPr>
        <w:t>(1), pp.12-19.</w:t>
      </w:r>
    </w:p>
    <w:p w14:paraId="61103A3F" w14:textId="77777777" w:rsidR="00784331" w:rsidRPr="0016371F" w:rsidRDefault="00784331" w:rsidP="00346D2E">
      <w:pPr>
        <w:pStyle w:val="ListParagraph"/>
        <w:numPr>
          <w:ilvl w:val="0"/>
          <w:numId w:val="5"/>
        </w:numPr>
      </w:pPr>
      <w:r w:rsidRPr="007E02DA">
        <w:t xml:space="preserve">Rao PS, Schaubel DE, Jia X et al. </w:t>
      </w:r>
      <w:r w:rsidRPr="0016371F">
        <w:t>Survival on dialysis postkidney transplant failure: results from the Scientific Registry of Transplant Recipients. Am J Kidney Dis 2007; 49: 294–300</w:t>
      </w:r>
    </w:p>
    <w:p w14:paraId="390C2EE3" w14:textId="77777777" w:rsidR="00784331" w:rsidRPr="0016371F" w:rsidRDefault="00784331" w:rsidP="00346D2E">
      <w:pPr>
        <w:pStyle w:val="ListParagraph"/>
        <w:numPr>
          <w:ilvl w:val="0"/>
          <w:numId w:val="5"/>
        </w:numPr>
        <w:rPr>
          <w:highlight w:val="white"/>
        </w:rPr>
      </w:pPr>
      <w:r w:rsidRPr="0016371F">
        <w:rPr>
          <w:highlight w:val="white"/>
        </w:rPr>
        <w:t>Casey MJ, Wen X, Kayler LK et al. Prolonged immunosuppression preserves nonsensitization status after kidney transplant failure. Transplantation 2014; 98: 306–311</w:t>
      </w:r>
    </w:p>
    <w:p w14:paraId="6C333A81" w14:textId="77777777" w:rsidR="00784331" w:rsidRPr="0016371F" w:rsidRDefault="00784331" w:rsidP="00346D2E">
      <w:pPr>
        <w:pStyle w:val="ListParagraph"/>
        <w:numPr>
          <w:ilvl w:val="0"/>
          <w:numId w:val="5"/>
        </w:numPr>
        <w:rPr>
          <w:highlight w:val="white"/>
        </w:rPr>
      </w:pPr>
      <w:r w:rsidRPr="0016371F">
        <w:rPr>
          <w:highlight w:val="white"/>
        </w:rPr>
        <w:t xml:space="preserve">Davis S, Mohan S. Managing Patients with Failing Kidney Allograft: Many Questions Remain. Clin J Am Soc Nephrol. 2021 Mar </w:t>
      </w:r>
      <w:proofErr w:type="gramStart"/>
      <w:r w:rsidRPr="0016371F">
        <w:rPr>
          <w:highlight w:val="white"/>
        </w:rPr>
        <w:t>10:CJN</w:t>
      </w:r>
      <w:proofErr w:type="gramEnd"/>
      <w:r w:rsidRPr="0016371F">
        <w:rPr>
          <w:highlight w:val="white"/>
        </w:rPr>
        <w:t>.14620920. doi: 10.2215/CJN.14620920. Epub ahead of print. PMID: 33692118.</w:t>
      </w:r>
    </w:p>
    <w:p w14:paraId="4E9387A1" w14:textId="77777777" w:rsidR="00784331" w:rsidRPr="0016371F" w:rsidRDefault="00784331" w:rsidP="00346D2E">
      <w:pPr>
        <w:pStyle w:val="ListParagraph"/>
        <w:numPr>
          <w:ilvl w:val="0"/>
          <w:numId w:val="5"/>
        </w:numPr>
        <w:rPr>
          <w:highlight w:val="white"/>
        </w:rPr>
      </w:pPr>
      <w:r w:rsidRPr="0016371F">
        <w:rPr>
          <w:highlight w:val="white"/>
        </w:rPr>
        <w:lastRenderedPageBreak/>
        <w:t>Nimmo AMSA, McIntyre S, Turner DM, Henderson LK, Battle RK. The Impact of Withdrawal of Maintenance Immunosuppression and Graft Nephrectomy on HLA Sensitization and Calculated Chance of Future Transplant. Transplant Direct. 2018 Nov 23;4(12</w:t>
      </w:r>
      <w:proofErr w:type="gramStart"/>
      <w:r w:rsidRPr="0016371F">
        <w:rPr>
          <w:highlight w:val="white"/>
        </w:rPr>
        <w:t>):e</w:t>
      </w:r>
      <w:proofErr w:type="gramEnd"/>
      <w:r w:rsidRPr="0016371F">
        <w:rPr>
          <w:highlight w:val="white"/>
        </w:rPr>
        <w:t>409. doi: 10.1097/TXD.0000000000000848. PMID: 30584590; PMCID: PMC6283087.</w:t>
      </w:r>
    </w:p>
    <w:p w14:paraId="0CC70901" w14:textId="77777777" w:rsidR="00784331" w:rsidRPr="0016371F" w:rsidRDefault="00784331" w:rsidP="00346D2E">
      <w:pPr>
        <w:pStyle w:val="ListParagraph"/>
        <w:numPr>
          <w:ilvl w:val="0"/>
          <w:numId w:val="5"/>
        </w:numPr>
      </w:pPr>
      <w:r w:rsidRPr="0016371F">
        <w:t>Khakhar</w:t>
      </w:r>
      <w:r w:rsidRPr="0016371F">
        <w:rPr>
          <w:highlight w:val="white"/>
        </w:rPr>
        <w:t xml:space="preserve"> </w:t>
      </w:r>
      <w:r w:rsidRPr="0016371F">
        <w:t>AK</w:t>
      </w:r>
      <w:r w:rsidRPr="0016371F">
        <w:rPr>
          <w:highlight w:val="white"/>
        </w:rPr>
        <w:t xml:space="preserve">, Shahinian VB, House AA et al. </w:t>
      </w:r>
      <w:r w:rsidRPr="0016371F">
        <w:t>The impact of allograft nephrectomy on percent panel reactive antibody and clinical outcomes</w:t>
      </w:r>
      <w:r w:rsidRPr="0016371F">
        <w:rPr>
          <w:highlight w:val="white"/>
        </w:rPr>
        <w:t xml:space="preserve">. </w:t>
      </w:r>
      <w:r w:rsidRPr="0016371F">
        <w:rPr>
          <w:i/>
        </w:rPr>
        <w:t>Transplant Proc</w:t>
      </w:r>
      <w:r w:rsidRPr="0016371F">
        <w:rPr>
          <w:highlight w:val="white"/>
        </w:rPr>
        <w:t xml:space="preserve"> </w:t>
      </w:r>
      <w:r w:rsidRPr="0016371F">
        <w:t>2003</w:t>
      </w:r>
      <w:r w:rsidRPr="0016371F">
        <w:rPr>
          <w:highlight w:val="white"/>
        </w:rPr>
        <w:t xml:space="preserve">; </w:t>
      </w:r>
      <w:r w:rsidRPr="0016371F">
        <w:t>35</w:t>
      </w:r>
      <w:r w:rsidRPr="0016371F">
        <w:rPr>
          <w:highlight w:val="white"/>
        </w:rPr>
        <w:t xml:space="preserve">: </w:t>
      </w:r>
      <w:r w:rsidRPr="0016371F">
        <w:t>862</w:t>
      </w:r>
      <w:r w:rsidRPr="0016371F">
        <w:rPr>
          <w:highlight w:val="white"/>
        </w:rPr>
        <w:t>–</w:t>
      </w:r>
      <w:r w:rsidRPr="0016371F">
        <w:t>863</w:t>
      </w:r>
    </w:p>
    <w:p w14:paraId="062D0479" w14:textId="77777777" w:rsidR="00784331" w:rsidRPr="0016371F" w:rsidRDefault="00784331" w:rsidP="00346D2E">
      <w:pPr>
        <w:pStyle w:val="ListParagraph"/>
        <w:numPr>
          <w:ilvl w:val="0"/>
          <w:numId w:val="5"/>
        </w:numPr>
      </w:pPr>
      <w:r w:rsidRPr="0016371F">
        <w:t>Freist, Marine, Dominique Bertrand, Elodie Bailly, Céline Lambert, Paul Olivier Rouzaire, Richard Lemal, Julien Aniort, Matthias Büchler, Anne Elisabeth Heng, and Cyril Garrouste. "Management of Immunosuppression After Kidney Transplant Failure: Effect on Patient Sensitization." In Transplantation Proceedings, vol. 53, no. 3, pp. 962-969. Elsevier, 2021.</w:t>
      </w:r>
    </w:p>
    <w:p w14:paraId="1B3DAD5C" w14:textId="77777777" w:rsidR="00784331" w:rsidRPr="0016371F" w:rsidRDefault="00784331" w:rsidP="00346D2E">
      <w:pPr>
        <w:pStyle w:val="ListParagraph"/>
        <w:numPr>
          <w:ilvl w:val="0"/>
          <w:numId w:val="5"/>
        </w:numPr>
      </w:pPr>
      <w:r w:rsidRPr="0016371F">
        <w:t>López del Moral Cuesta, Covadonga, Sandra Guiral Foz, David Gómez Pereda, José Luis Pérez Canga, Marina de Cos Gómez, Jaime Mazón Ruiz, Ana García Santiago et al. "Immunosuppression with Calcineurin Inhibitor after Renal Transplant Failure Inhibits Allosensitization." Biomedicines 8, no. 4 (2020): 72.</w:t>
      </w:r>
    </w:p>
    <w:p w14:paraId="4CE8A287" w14:textId="77777777" w:rsidR="00784331" w:rsidRDefault="00784331" w:rsidP="00346D2E">
      <w:pPr>
        <w:pStyle w:val="ListParagraph"/>
        <w:numPr>
          <w:ilvl w:val="0"/>
          <w:numId w:val="5"/>
        </w:numPr>
        <w:rPr>
          <w:rFonts w:eastAsia="Arial" w:cstheme="minorHAnsi"/>
        </w:rPr>
      </w:pPr>
      <w:r w:rsidRPr="0016371F">
        <w:rPr>
          <w:rFonts w:eastAsia="Arial" w:cstheme="minorHAnsi"/>
          <w:color w:val="231F20"/>
        </w:rPr>
        <w:t>Michelle Lubetzky</w:t>
      </w:r>
      <w:r w:rsidRPr="0016371F">
        <w:rPr>
          <w:rFonts w:eastAsia="Arial" w:cstheme="minorHAnsi"/>
          <w:color w:val="231F20"/>
          <w:vertAlign w:val="superscript"/>
        </w:rPr>
        <w:t xml:space="preserve"> </w:t>
      </w:r>
      <w:r w:rsidRPr="0016371F">
        <w:rPr>
          <w:rFonts w:eastAsia="Arial" w:cstheme="minorHAnsi"/>
          <w:color w:val="231F20"/>
        </w:rPr>
        <w:t>, Ekamol Tantisattamo</w:t>
      </w:r>
      <w:r w:rsidRPr="0016371F">
        <w:rPr>
          <w:rFonts w:eastAsia="Arial" w:cstheme="minorHAnsi"/>
          <w:color w:val="231F20"/>
          <w:vertAlign w:val="superscript"/>
        </w:rPr>
        <w:t xml:space="preserve"> </w:t>
      </w:r>
      <w:hyperlink r:id="rId7" w:anchor="affiliation-2">
        <w:r w:rsidRPr="0016371F">
          <w:rPr>
            <w:rFonts w:eastAsia="Arial" w:cstheme="minorHAnsi"/>
            <w:color w:val="231F20"/>
            <w:vertAlign w:val="superscript"/>
          </w:rPr>
          <w:t>2</w:t>
        </w:r>
      </w:hyperlink>
      <w:r w:rsidRPr="0016371F">
        <w:rPr>
          <w:rFonts w:eastAsia="Arial" w:cstheme="minorHAnsi"/>
          <w:color w:val="231F20"/>
        </w:rPr>
        <w:t xml:space="preserve">, </w:t>
      </w:r>
      <w:hyperlink r:id="rId8">
        <w:r w:rsidRPr="0016371F">
          <w:rPr>
            <w:rFonts w:eastAsia="Arial" w:cstheme="minorHAnsi"/>
            <w:color w:val="231F20"/>
          </w:rPr>
          <w:t>Miklos Z Molnar</w:t>
        </w:r>
      </w:hyperlink>
      <w:r w:rsidRPr="0016371F">
        <w:rPr>
          <w:rFonts w:eastAsia="Arial" w:cstheme="minorHAnsi"/>
          <w:color w:val="231F20"/>
          <w:vertAlign w:val="superscript"/>
        </w:rPr>
        <w:t xml:space="preserve"> </w:t>
      </w:r>
      <w:hyperlink r:id="rId9" w:anchor="affiliation-3">
        <w:r w:rsidRPr="0016371F">
          <w:rPr>
            <w:rFonts w:eastAsia="Arial" w:cstheme="minorHAnsi"/>
            <w:color w:val="231F20"/>
            <w:vertAlign w:val="superscript"/>
          </w:rPr>
          <w:t>3</w:t>
        </w:r>
      </w:hyperlink>
      <w:r w:rsidRPr="0016371F">
        <w:rPr>
          <w:rFonts w:eastAsia="Arial" w:cstheme="minorHAnsi"/>
          <w:color w:val="231F20"/>
        </w:rPr>
        <w:t xml:space="preserve">, </w:t>
      </w:r>
      <w:hyperlink r:id="rId10">
        <w:r w:rsidRPr="0016371F">
          <w:rPr>
            <w:rFonts w:eastAsia="Arial" w:cstheme="minorHAnsi"/>
            <w:color w:val="231F20"/>
          </w:rPr>
          <w:t>Krista L Lentine</w:t>
        </w:r>
      </w:hyperlink>
      <w:r w:rsidRPr="0016371F">
        <w:rPr>
          <w:rFonts w:eastAsia="Arial" w:cstheme="minorHAnsi"/>
          <w:color w:val="231F20"/>
          <w:vertAlign w:val="superscript"/>
        </w:rPr>
        <w:t xml:space="preserve"> </w:t>
      </w:r>
      <w:hyperlink r:id="rId11" w:anchor="affiliation-4">
        <w:r w:rsidRPr="0016371F">
          <w:rPr>
            <w:rFonts w:eastAsia="Arial" w:cstheme="minorHAnsi"/>
            <w:color w:val="231F20"/>
            <w:vertAlign w:val="superscript"/>
          </w:rPr>
          <w:t>4</w:t>
        </w:r>
      </w:hyperlink>
      <w:r w:rsidRPr="0016371F">
        <w:rPr>
          <w:rFonts w:eastAsia="Arial" w:cstheme="minorHAnsi"/>
          <w:color w:val="231F20"/>
        </w:rPr>
        <w:t xml:space="preserve">, </w:t>
      </w:r>
      <w:hyperlink r:id="rId12">
        <w:r w:rsidRPr="0016371F">
          <w:rPr>
            <w:rFonts w:eastAsia="Arial" w:cstheme="minorHAnsi"/>
            <w:color w:val="231F20"/>
          </w:rPr>
          <w:t>Arpita Basu</w:t>
        </w:r>
      </w:hyperlink>
      <w:r w:rsidRPr="0016371F">
        <w:rPr>
          <w:rFonts w:eastAsia="Arial" w:cstheme="minorHAnsi"/>
          <w:color w:val="231F20"/>
          <w:vertAlign w:val="superscript"/>
        </w:rPr>
        <w:t xml:space="preserve"> </w:t>
      </w:r>
      <w:hyperlink r:id="rId13" w:anchor="affiliation-5">
        <w:r w:rsidRPr="0016371F">
          <w:rPr>
            <w:rFonts w:eastAsia="Arial" w:cstheme="minorHAnsi"/>
            <w:color w:val="231F20"/>
            <w:vertAlign w:val="superscript"/>
          </w:rPr>
          <w:t>5</w:t>
        </w:r>
      </w:hyperlink>
      <w:r w:rsidRPr="0016371F">
        <w:rPr>
          <w:rFonts w:eastAsia="Arial" w:cstheme="minorHAnsi"/>
          <w:color w:val="231F20"/>
        </w:rPr>
        <w:t xml:space="preserve">, </w:t>
      </w:r>
      <w:hyperlink r:id="rId14">
        <w:r w:rsidRPr="0016371F">
          <w:rPr>
            <w:rFonts w:eastAsia="Arial" w:cstheme="minorHAnsi"/>
            <w:color w:val="231F20"/>
          </w:rPr>
          <w:t>Ronald F Parsons</w:t>
        </w:r>
      </w:hyperlink>
      <w:r w:rsidRPr="0016371F">
        <w:rPr>
          <w:rFonts w:eastAsia="Arial" w:cstheme="minorHAnsi"/>
          <w:color w:val="231F20"/>
          <w:vertAlign w:val="superscript"/>
        </w:rPr>
        <w:t xml:space="preserve"> </w:t>
      </w:r>
      <w:hyperlink r:id="rId15" w:anchor="affiliation-5">
        <w:r w:rsidRPr="0016371F">
          <w:rPr>
            <w:rFonts w:eastAsia="Arial" w:cstheme="minorHAnsi"/>
            <w:color w:val="231F20"/>
            <w:vertAlign w:val="superscript"/>
          </w:rPr>
          <w:t>5</w:t>
        </w:r>
      </w:hyperlink>
      <w:r w:rsidRPr="0016371F">
        <w:rPr>
          <w:rFonts w:eastAsia="Arial" w:cstheme="minorHAnsi"/>
          <w:color w:val="231F20"/>
        </w:rPr>
        <w:t xml:space="preserve">, </w:t>
      </w:r>
      <w:hyperlink r:id="rId16">
        <w:r w:rsidRPr="0016371F">
          <w:rPr>
            <w:rFonts w:eastAsia="Arial" w:cstheme="minorHAnsi"/>
            <w:color w:val="231F20"/>
          </w:rPr>
          <w:t>Kenneth J Woodside</w:t>
        </w:r>
      </w:hyperlink>
      <w:r w:rsidRPr="0016371F">
        <w:rPr>
          <w:rFonts w:eastAsia="Arial" w:cstheme="minorHAnsi"/>
          <w:color w:val="231F20"/>
          <w:vertAlign w:val="superscript"/>
        </w:rPr>
        <w:t xml:space="preserve"> </w:t>
      </w:r>
      <w:hyperlink r:id="rId17" w:anchor="affiliation-6">
        <w:r w:rsidRPr="0016371F">
          <w:rPr>
            <w:rFonts w:eastAsia="Arial" w:cstheme="minorHAnsi"/>
            <w:color w:val="231F20"/>
            <w:vertAlign w:val="superscript"/>
          </w:rPr>
          <w:t>6</w:t>
        </w:r>
      </w:hyperlink>
      <w:r w:rsidRPr="0016371F">
        <w:rPr>
          <w:rFonts w:eastAsia="Arial" w:cstheme="minorHAnsi"/>
          <w:color w:val="231F20"/>
        </w:rPr>
        <w:t xml:space="preserve">, </w:t>
      </w:r>
      <w:hyperlink r:id="rId18">
        <w:r w:rsidRPr="0016371F">
          <w:rPr>
            <w:rFonts w:eastAsia="Arial" w:cstheme="minorHAnsi"/>
            <w:color w:val="231F20"/>
          </w:rPr>
          <w:t>Martha Pavlakis</w:t>
        </w:r>
      </w:hyperlink>
      <w:r w:rsidRPr="0016371F">
        <w:rPr>
          <w:rFonts w:eastAsia="Arial" w:cstheme="minorHAnsi"/>
          <w:color w:val="231F20"/>
          <w:vertAlign w:val="superscript"/>
        </w:rPr>
        <w:t xml:space="preserve"> </w:t>
      </w:r>
      <w:hyperlink r:id="rId19" w:anchor="affiliation-7">
        <w:r w:rsidRPr="0016371F">
          <w:rPr>
            <w:rFonts w:eastAsia="Arial" w:cstheme="minorHAnsi"/>
            <w:color w:val="231F20"/>
            <w:vertAlign w:val="superscript"/>
          </w:rPr>
          <w:t>7</w:t>
        </w:r>
      </w:hyperlink>
      <w:r w:rsidRPr="0016371F">
        <w:rPr>
          <w:rFonts w:eastAsia="Arial" w:cstheme="minorHAnsi"/>
          <w:color w:val="231F20"/>
        </w:rPr>
        <w:t xml:space="preserve">, </w:t>
      </w:r>
      <w:hyperlink r:id="rId20">
        <w:r w:rsidRPr="0016371F">
          <w:rPr>
            <w:rFonts w:eastAsia="Arial" w:cstheme="minorHAnsi"/>
            <w:color w:val="231F20"/>
          </w:rPr>
          <w:t>Christopher D Blosser</w:t>
        </w:r>
      </w:hyperlink>
      <w:r w:rsidRPr="0016371F">
        <w:rPr>
          <w:rFonts w:eastAsia="Arial" w:cstheme="minorHAnsi"/>
          <w:color w:val="231F20"/>
          <w:vertAlign w:val="superscript"/>
        </w:rPr>
        <w:t xml:space="preserve"> </w:t>
      </w:r>
      <w:hyperlink r:id="rId21" w:anchor="affiliation-8">
        <w:r w:rsidRPr="0016371F">
          <w:rPr>
            <w:rFonts w:eastAsia="Arial" w:cstheme="minorHAnsi"/>
            <w:color w:val="231F20"/>
            <w:vertAlign w:val="superscript"/>
          </w:rPr>
          <w:t>8</w:t>
        </w:r>
      </w:hyperlink>
      <w:r w:rsidRPr="0016371F">
        <w:rPr>
          <w:rFonts w:eastAsia="Arial" w:cstheme="minorHAnsi"/>
          <w:color w:val="231F20"/>
        </w:rPr>
        <w:t xml:space="preserve">, </w:t>
      </w:r>
      <w:hyperlink r:id="rId22">
        <w:r w:rsidRPr="0016371F">
          <w:rPr>
            <w:rFonts w:eastAsia="Arial" w:cstheme="minorHAnsi"/>
            <w:color w:val="231F20"/>
          </w:rPr>
          <w:t>Neeraj Singh</w:t>
        </w:r>
      </w:hyperlink>
      <w:r w:rsidRPr="0016371F">
        <w:rPr>
          <w:rFonts w:eastAsia="Arial" w:cstheme="minorHAnsi"/>
          <w:color w:val="231F20"/>
          <w:vertAlign w:val="superscript"/>
        </w:rPr>
        <w:t xml:space="preserve"> </w:t>
      </w:r>
      <w:hyperlink r:id="rId23" w:anchor="affiliation-9">
        <w:r w:rsidRPr="0016371F">
          <w:rPr>
            <w:rFonts w:eastAsia="Arial" w:cstheme="minorHAnsi"/>
            <w:color w:val="231F20"/>
            <w:vertAlign w:val="superscript"/>
          </w:rPr>
          <w:t>9</w:t>
        </w:r>
      </w:hyperlink>
      <w:r w:rsidRPr="0016371F">
        <w:rPr>
          <w:rFonts w:eastAsia="Arial" w:cstheme="minorHAnsi"/>
          <w:color w:val="231F20"/>
        </w:rPr>
        <w:t xml:space="preserve">, </w:t>
      </w:r>
      <w:hyperlink r:id="rId24">
        <w:r w:rsidRPr="0016371F">
          <w:rPr>
            <w:rFonts w:eastAsia="Arial" w:cstheme="minorHAnsi"/>
            <w:color w:val="231F20"/>
          </w:rPr>
          <w:t>Beatrice P Concepcion</w:t>
        </w:r>
      </w:hyperlink>
      <w:r w:rsidRPr="0016371F">
        <w:rPr>
          <w:rFonts w:eastAsia="Arial" w:cstheme="minorHAnsi"/>
          <w:color w:val="231F20"/>
          <w:vertAlign w:val="superscript"/>
        </w:rPr>
        <w:t xml:space="preserve"> </w:t>
      </w:r>
      <w:hyperlink r:id="rId25" w:anchor="affiliation-10">
        <w:r w:rsidRPr="0016371F">
          <w:rPr>
            <w:rFonts w:eastAsia="Arial" w:cstheme="minorHAnsi"/>
            <w:color w:val="231F20"/>
            <w:vertAlign w:val="superscript"/>
          </w:rPr>
          <w:t>10</w:t>
        </w:r>
      </w:hyperlink>
      <w:r w:rsidRPr="0016371F">
        <w:rPr>
          <w:rFonts w:eastAsia="Arial" w:cstheme="minorHAnsi"/>
          <w:color w:val="231F20"/>
        </w:rPr>
        <w:t xml:space="preserve">, </w:t>
      </w:r>
      <w:hyperlink r:id="rId26">
        <w:r w:rsidRPr="0016371F">
          <w:rPr>
            <w:rFonts w:eastAsia="Arial" w:cstheme="minorHAnsi"/>
            <w:color w:val="231F20"/>
          </w:rPr>
          <w:t>Deborah Adey</w:t>
        </w:r>
      </w:hyperlink>
      <w:r w:rsidRPr="0016371F">
        <w:rPr>
          <w:rFonts w:eastAsia="Arial" w:cstheme="minorHAnsi"/>
          <w:color w:val="231F20"/>
          <w:vertAlign w:val="superscript"/>
        </w:rPr>
        <w:t xml:space="preserve"> </w:t>
      </w:r>
      <w:hyperlink r:id="rId27" w:anchor="affiliation-11">
        <w:r w:rsidRPr="0016371F">
          <w:rPr>
            <w:rFonts w:eastAsia="Arial" w:cstheme="minorHAnsi"/>
            <w:color w:val="231F20"/>
            <w:vertAlign w:val="superscript"/>
          </w:rPr>
          <w:t>11</w:t>
        </w:r>
      </w:hyperlink>
      <w:r w:rsidRPr="0016371F">
        <w:rPr>
          <w:rFonts w:eastAsia="Arial" w:cstheme="minorHAnsi"/>
          <w:color w:val="231F20"/>
        </w:rPr>
        <w:t xml:space="preserve">, </w:t>
      </w:r>
      <w:hyperlink r:id="rId28">
        <w:r w:rsidRPr="0016371F">
          <w:rPr>
            <w:rFonts w:eastAsia="Arial" w:cstheme="minorHAnsi"/>
            <w:color w:val="231F20"/>
          </w:rPr>
          <w:t>Gaurav Gupta</w:t>
        </w:r>
      </w:hyperlink>
      <w:r w:rsidRPr="0016371F">
        <w:rPr>
          <w:rFonts w:eastAsia="Arial" w:cstheme="minorHAnsi"/>
          <w:color w:val="231F20"/>
          <w:vertAlign w:val="superscript"/>
        </w:rPr>
        <w:t xml:space="preserve"> </w:t>
      </w:r>
      <w:hyperlink r:id="rId29" w:anchor="affiliation-12">
        <w:r w:rsidRPr="0016371F">
          <w:rPr>
            <w:rFonts w:eastAsia="Arial" w:cstheme="minorHAnsi"/>
            <w:color w:val="231F20"/>
            <w:vertAlign w:val="superscript"/>
          </w:rPr>
          <w:t>12</w:t>
        </w:r>
      </w:hyperlink>
      <w:r w:rsidRPr="0016371F">
        <w:rPr>
          <w:rFonts w:eastAsia="Arial" w:cstheme="minorHAnsi"/>
          <w:color w:val="231F20"/>
        </w:rPr>
        <w:t xml:space="preserve">, </w:t>
      </w:r>
      <w:hyperlink r:id="rId30">
        <w:r w:rsidRPr="0016371F">
          <w:rPr>
            <w:rFonts w:eastAsia="Arial" w:cstheme="minorHAnsi"/>
            <w:color w:val="231F20"/>
          </w:rPr>
          <w:t>Arman Faravardeh</w:t>
        </w:r>
      </w:hyperlink>
      <w:r w:rsidRPr="0016371F">
        <w:rPr>
          <w:rFonts w:eastAsia="Arial" w:cstheme="minorHAnsi"/>
          <w:color w:val="231F20"/>
          <w:vertAlign w:val="superscript"/>
        </w:rPr>
        <w:t xml:space="preserve"> </w:t>
      </w:r>
      <w:hyperlink r:id="rId31" w:anchor="affiliation-13">
        <w:r w:rsidRPr="0016371F">
          <w:rPr>
            <w:rFonts w:eastAsia="Arial" w:cstheme="minorHAnsi"/>
            <w:color w:val="231F20"/>
            <w:vertAlign w:val="superscript"/>
          </w:rPr>
          <w:t>13</w:t>
        </w:r>
      </w:hyperlink>
      <w:r w:rsidRPr="0016371F">
        <w:rPr>
          <w:rFonts w:eastAsia="Arial" w:cstheme="minorHAnsi"/>
          <w:color w:val="231F20"/>
        </w:rPr>
        <w:t xml:space="preserve">, </w:t>
      </w:r>
      <w:hyperlink r:id="rId32">
        <w:r w:rsidRPr="0016371F">
          <w:rPr>
            <w:rFonts w:eastAsia="Arial" w:cstheme="minorHAnsi"/>
            <w:color w:val="231F20"/>
          </w:rPr>
          <w:t>Edward Kraus</w:t>
        </w:r>
      </w:hyperlink>
      <w:r w:rsidRPr="0016371F">
        <w:rPr>
          <w:rFonts w:eastAsia="Arial" w:cstheme="minorHAnsi"/>
          <w:color w:val="231F20"/>
          <w:vertAlign w:val="superscript"/>
        </w:rPr>
        <w:t xml:space="preserve"> </w:t>
      </w:r>
      <w:hyperlink r:id="rId33" w:anchor="affiliation-14">
        <w:r w:rsidRPr="0016371F">
          <w:rPr>
            <w:rFonts w:eastAsia="Arial" w:cstheme="minorHAnsi"/>
            <w:color w:val="231F20"/>
            <w:vertAlign w:val="superscript"/>
          </w:rPr>
          <w:t>14</w:t>
        </w:r>
      </w:hyperlink>
      <w:r w:rsidRPr="0016371F">
        <w:rPr>
          <w:rFonts w:eastAsia="Arial" w:cstheme="minorHAnsi"/>
          <w:color w:val="231F20"/>
        </w:rPr>
        <w:t xml:space="preserve">, </w:t>
      </w:r>
      <w:hyperlink r:id="rId34">
        <w:r w:rsidRPr="0016371F">
          <w:rPr>
            <w:rFonts w:eastAsia="Arial" w:cstheme="minorHAnsi"/>
            <w:color w:val="231F20"/>
          </w:rPr>
          <w:t>Song Ong</w:t>
        </w:r>
      </w:hyperlink>
      <w:r w:rsidRPr="0016371F">
        <w:rPr>
          <w:rFonts w:eastAsia="Arial" w:cstheme="minorHAnsi"/>
          <w:color w:val="231F20"/>
          <w:vertAlign w:val="superscript"/>
        </w:rPr>
        <w:t xml:space="preserve"> </w:t>
      </w:r>
      <w:hyperlink r:id="rId35" w:anchor="affiliation-15">
        <w:r w:rsidRPr="0016371F">
          <w:rPr>
            <w:rFonts w:eastAsia="Arial" w:cstheme="minorHAnsi"/>
            <w:color w:val="231F20"/>
            <w:vertAlign w:val="superscript"/>
          </w:rPr>
          <w:t>15</w:t>
        </w:r>
      </w:hyperlink>
      <w:r w:rsidRPr="0016371F">
        <w:rPr>
          <w:rFonts w:eastAsia="Arial" w:cstheme="minorHAnsi"/>
          <w:color w:val="231F20"/>
        </w:rPr>
        <w:t xml:space="preserve">, </w:t>
      </w:r>
      <w:hyperlink r:id="rId36">
        <w:r w:rsidRPr="0016371F">
          <w:rPr>
            <w:rFonts w:eastAsia="Arial" w:cstheme="minorHAnsi"/>
            <w:color w:val="231F20"/>
          </w:rPr>
          <w:t>Leonardo V Riella</w:t>
        </w:r>
      </w:hyperlink>
      <w:r w:rsidRPr="0016371F">
        <w:rPr>
          <w:rFonts w:eastAsia="Arial" w:cstheme="minorHAnsi"/>
          <w:color w:val="231F20"/>
          <w:vertAlign w:val="superscript"/>
        </w:rPr>
        <w:t xml:space="preserve"> </w:t>
      </w:r>
      <w:hyperlink r:id="rId37" w:anchor="affiliation-16">
        <w:r w:rsidRPr="0016371F">
          <w:rPr>
            <w:rFonts w:eastAsia="Arial" w:cstheme="minorHAnsi"/>
            <w:color w:val="231F20"/>
            <w:vertAlign w:val="superscript"/>
          </w:rPr>
          <w:t>16</w:t>
        </w:r>
      </w:hyperlink>
      <w:r w:rsidRPr="0016371F">
        <w:rPr>
          <w:rFonts w:eastAsia="Arial" w:cstheme="minorHAnsi"/>
          <w:color w:val="231F20"/>
        </w:rPr>
        <w:t xml:space="preserve">, </w:t>
      </w:r>
      <w:hyperlink r:id="rId38">
        <w:r w:rsidRPr="0016371F">
          <w:rPr>
            <w:rFonts w:eastAsia="Arial" w:cstheme="minorHAnsi"/>
            <w:color w:val="231F20"/>
          </w:rPr>
          <w:t>John Friedewald</w:t>
        </w:r>
      </w:hyperlink>
      <w:hyperlink r:id="rId39" w:anchor="affiliation-17">
        <w:r w:rsidRPr="0016371F">
          <w:rPr>
            <w:rFonts w:eastAsia="Arial" w:cstheme="minorHAnsi"/>
            <w:color w:val="231F20"/>
            <w:vertAlign w:val="superscript"/>
          </w:rPr>
          <w:t>17</w:t>
        </w:r>
      </w:hyperlink>
      <w:r w:rsidRPr="0016371F">
        <w:rPr>
          <w:rFonts w:eastAsia="Arial" w:cstheme="minorHAnsi"/>
          <w:color w:val="231F20"/>
        </w:rPr>
        <w:t xml:space="preserve">, </w:t>
      </w:r>
      <w:hyperlink r:id="rId40">
        <w:r w:rsidRPr="0016371F">
          <w:rPr>
            <w:rFonts w:eastAsia="Arial" w:cstheme="minorHAnsi"/>
            <w:color w:val="231F20"/>
          </w:rPr>
          <w:t>Alex Wiseman</w:t>
        </w:r>
      </w:hyperlink>
      <w:r w:rsidRPr="0016371F">
        <w:rPr>
          <w:rFonts w:eastAsia="Arial" w:cstheme="minorHAnsi"/>
          <w:color w:val="231F20"/>
          <w:vertAlign w:val="superscript"/>
        </w:rPr>
        <w:t xml:space="preserve"> </w:t>
      </w:r>
      <w:hyperlink r:id="rId41" w:anchor="affiliation-18">
        <w:r w:rsidRPr="0016371F">
          <w:rPr>
            <w:rFonts w:eastAsia="Arial" w:cstheme="minorHAnsi"/>
            <w:color w:val="231F20"/>
            <w:vertAlign w:val="superscript"/>
          </w:rPr>
          <w:t>18</w:t>
        </w:r>
      </w:hyperlink>
      <w:r w:rsidRPr="0016371F">
        <w:rPr>
          <w:rFonts w:eastAsia="Arial" w:cstheme="minorHAnsi"/>
          <w:color w:val="231F20"/>
        </w:rPr>
        <w:t xml:space="preserve">, </w:t>
      </w:r>
      <w:hyperlink r:id="rId42">
        <w:r w:rsidRPr="0016371F">
          <w:rPr>
            <w:rFonts w:eastAsia="Arial" w:cstheme="minorHAnsi"/>
            <w:color w:val="231F20"/>
          </w:rPr>
          <w:t>Amtul Aala</w:t>
        </w:r>
      </w:hyperlink>
      <w:r w:rsidRPr="0016371F">
        <w:rPr>
          <w:rFonts w:eastAsia="Arial" w:cstheme="minorHAnsi"/>
          <w:color w:val="231F20"/>
          <w:vertAlign w:val="superscript"/>
        </w:rPr>
        <w:t xml:space="preserve"> </w:t>
      </w:r>
      <w:hyperlink r:id="rId43" w:anchor="affiliation-7">
        <w:r w:rsidRPr="0016371F">
          <w:rPr>
            <w:rFonts w:eastAsia="Arial" w:cstheme="minorHAnsi"/>
            <w:color w:val="231F20"/>
            <w:vertAlign w:val="superscript"/>
          </w:rPr>
          <w:t>7</w:t>
        </w:r>
      </w:hyperlink>
      <w:r w:rsidRPr="0016371F">
        <w:rPr>
          <w:rFonts w:eastAsia="Arial" w:cstheme="minorHAnsi"/>
          <w:color w:val="231F20"/>
        </w:rPr>
        <w:t xml:space="preserve">, </w:t>
      </w:r>
      <w:hyperlink r:id="rId44">
        <w:r w:rsidRPr="0016371F">
          <w:rPr>
            <w:rFonts w:eastAsia="Arial" w:cstheme="minorHAnsi"/>
            <w:color w:val="231F20"/>
          </w:rPr>
          <w:t>Darshana M Dadhania</w:t>
        </w:r>
      </w:hyperlink>
      <w:r w:rsidRPr="0016371F">
        <w:rPr>
          <w:rFonts w:eastAsia="Arial" w:cstheme="minorHAnsi"/>
          <w:color w:val="231F20"/>
          <w:vertAlign w:val="superscript"/>
        </w:rPr>
        <w:t xml:space="preserve"> </w:t>
      </w:r>
      <w:hyperlink r:id="rId45" w:anchor="affiliation-1">
        <w:r w:rsidRPr="0016371F">
          <w:rPr>
            <w:rFonts w:eastAsia="Arial" w:cstheme="minorHAnsi"/>
            <w:color w:val="231F20"/>
            <w:vertAlign w:val="superscript"/>
          </w:rPr>
          <w:t>1</w:t>
        </w:r>
      </w:hyperlink>
      <w:r w:rsidRPr="0016371F">
        <w:rPr>
          <w:rFonts w:eastAsia="Arial" w:cstheme="minorHAnsi"/>
          <w:color w:val="231F20"/>
        </w:rPr>
        <w:t xml:space="preserve">, </w:t>
      </w:r>
      <w:hyperlink r:id="rId46">
        <w:r w:rsidRPr="0016371F">
          <w:rPr>
            <w:rFonts w:eastAsia="Arial" w:cstheme="minorHAnsi"/>
            <w:color w:val="231F20"/>
          </w:rPr>
          <w:t>Tarek Alhamad</w:t>
        </w:r>
      </w:hyperlink>
      <w:r w:rsidRPr="0016371F">
        <w:rPr>
          <w:rFonts w:eastAsia="Arial" w:cstheme="minorHAnsi"/>
          <w:color w:val="231F20"/>
          <w:vertAlign w:val="superscript"/>
        </w:rPr>
        <w:t xml:space="preserve"> </w:t>
      </w:r>
      <w:hyperlink r:id="rId47" w:anchor="affiliation-19">
        <w:r w:rsidRPr="0016371F">
          <w:rPr>
            <w:rFonts w:eastAsia="Arial" w:cstheme="minorHAnsi"/>
            <w:color w:val="231F20"/>
            <w:vertAlign w:val="superscript"/>
          </w:rPr>
          <w:t>19</w:t>
        </w:r>
      </w:hyperlink>
      <w:r w:rsidRPr="0016371F">
        <w:rPr>
          <w:rFonts w:eastAsia="Arial" w:cstheme="minorHAnsi"/>
          <w:color w:val="231F20"/>
        </w:rPr>
        <w:t>. The failing kidney allograft: A review and recommendations for the care and management of a complex group of patients. Am J Transplant. 2021 Sep;21(9):2937-2949.  doi: 10.1111</w:t>
      </w:r>
      <w:r w:rsidRPr="0016371F">
        <w:rPr>
          <w:rFonts w:eastAsia="Arial" w:cstheme="minorHAnsi"/>
        </w:rPr>
        <w:t>/ajt.16717.</w:t>
      </w:r>
    </w:p>
    <w:p w14:paraId="6123F1FC" w14:textId="77777777" w:rsidR="00784331" w:rsidRPr="00C94890" w:rsidRDefault="00784331" w:rsidP="00346D2E">
      <w:pPr>
        <w:pStyle w:val="ListParagraph"/>
        <w:numPr>
          <w:ilvl w:val="0"/>
          <w:numId w:val="5"/>
        </w:numPr>
      </w:pPr>
      <w:r w:rsidRPr="00C94890">
        <w:rPr>
          <w:highlight w:val="white"/>
        </w:rPr>
        <w:t>Eurotransplant Manual© – version 4.5; November 20, 2018</w:t>
      </w:r>
      <w:r>
        <w:rPr>
          <w:highlight w:val="white"/>
        </w:rPr>
        <w:t>.</w:t>
      </w:r>
      <w:r w:rsidRPr="00C94890">
        <w:rPr>
          <w:highlight w:val="white"/>
        </w:rPr>
        <w:t xml:space="preserve"> https://www.eurotransplant.org/wp-content/uploads/2020/01/H10-Histocompatibility.pdf</w:t>
      </w:r>
    </w:p>
    <w:p w14:paraId="201F650A" w14:textId="77777777" w:rsidR="00784331" w:rsidRPr="0016371F" w:rsidRDefault="00784331" w:rsidP="00346D2E">
      <w:pPr>
        <w:pStyle w:val="ListParagraph"/>
        <w:numPr>
          <w:ilvl w:val="0"/>
          <w:numId w:val="5"/>
        </w:numPr>
      </w:pPr>
      <w:r w:rsidRPr="0016371F">
        <w:t>Gregoor PJ, Kramer P, Weimar W, van Saase JL. Infections after renal allograft failure in patients with or without low-dose maintenance immunosuppression. Transplantation. 1997;63(10):1528- 1530.</w:t>
      </w:r>
    </w:p>
    <w:p w14:paraId="4F6410EB" w14:textId="77777777" w:rsidR="00784331" w:rsidRPr="0016371F" w:rsidRDefault="00784331" w:rsidP="00346D2E">
      <w:pPr>
        <w:pStyle w:val="ListParagraph"/>
        <w:numPr>
          <w:ilvl w:val="0"/>
          <w:numId w:val="5"/>
        </w:numPr>
      </w:pPr>
      <w:r w:rsidRPr="007E02DA">
        <w:rPr>
          <w:lang w:val="pt-BR"/>
        </w:rPr>
        <w:t xml:space="preserve">Johnston O, Zalunardo N, Rose C, Gill JS. </w:t>
      </w:r>
      <w:r w:rsidRPr="0016371F">
        <w:t xml:space="preserve">Prevention of sepsis during the transition to dialysis may improve the survival of transplant failure patients. J Am Soc Nephrol 2007; 18:1331-1337 </w:t>
      </w:r>
    </w:p>
    <w:p w14:paraId="299C7184" w14:textId="77777777" w:rsidR="00784331" w:rsidRPr="0016371F" w:rsidRDefault="00784331" w:rsidP="00346D2E">
      <w:pPr>
        <w:pStyle w:val="ListParagraph"/>
        <w:numPr>
          <w:ilvl w:val="0"/>
          <w:numId w:val="5"/>
        </w:numPr>
      </w:pPr>
      <w:r w:rsidRPr="007E02DA">
        <w:rPr>
          <w:lang w:val="nl-NL"/>
        </w:rPr>
        <w:t xml:space="preserve">van Leeuwen MT, Webster AC, McCredie MR, et al. </w:t>
      </w:r>
      <w:r w:rsidRPr="0016371F">
        <w:t>Effect of reduced immunosuppression after kidney transplant failure on risk of cancer: population based retrospective cohort study. BMJ. 2010;340:c570.</w:t>
      </w:r>
    </w:p>
    <w:p w14:paraId="480DD4D7" w14:textId="77777777" w:rsidR="00784331" w:rsidRPr="0016371F" w:rsidRDefault="00784331" w:rsidP="00346D2E">
      <w:pPr>
        <w:pStyle w:val="ListParagraph"/>
        <w:numPr>
          <w:ilvl w:val="0"/>
          <w:numId w:val="5"/>
        </w:numPr>
      </w:pPr>
      <w:r w:rsidRPr="0016371F">
        <w:t>Ryu, Hyunjin, Yong Chul Kim, Jong Joo Moon, Eun Young Song, Sang-il Min, Jongwon Ha, Kwon Wook Joo, Yon Su Kim, Curie Ahn, and Hajeong Lee. "Weaning immunosuppressant in patients with failing Kidney Grafts and the outcomes: A Single-center Retrospective cohort Study." Scientific reports 10, no. 1 (2020): 1-9.</w:t>
      </w:r>
    </w:p>
    <w:p w14:paraId="2072AB35" w14:textId="39D5D020" w:rsidR="00784331" w:rsidRPr="0016371F" w:rsidRDefault="00784331" w:rsidP="00346D2E">
      <w:pPr>
        <w:pStyle w:val="ListParagraph"/>
        <w:numPr>
          <w:ilvl w:val="0"/>
          <w:numId w:val="5"/>
        </w:numPr>
      </w:pPr>
      <w:r w:rsidRPr="0016371F">
        <w:t>Madore F, Hébert MJ, Leblanc M, Girard R, Bastien E, Morin M, Beaudry C,</w:t>
      </w:r>
      <w:r w:rsidR="00D23A98">
        <w:t xml:space="preserve"> </w:t>
      </w:r>
      <w:r w:rsidRPr="0016371F">
        <w:t>Boucher A, Dandavino R. Determinants of late allograft nephrectomy. Clin Nephrol 1995 Nov;44(5):284-9.</w:t>
      </w:r>
    </w:p>
    <w:p w14:paraId="3C5B4B2C" w14:textId="77777777" w:rsidR="00784331" w:rsidRPr="0016371F" w:rsidRDefault="00784331" w:rsidP="00346D2E">
      <w:pPr>
        <w:pStyle w:val="ListParagraph"/>
        <w:numPr>
          <w:ilvl w:val="0"/>
          <w:numId w:val="5"/>
        </w:numPr>
      </w:pPr>
      <w:r w:rsidRPr="007E02DA">
        <w:rPr>
          <w:lang w:val="de-DE"/>
        </w:rPr>
        <w:t xml:space="preserve">Verresen L, Vanrenterghem Y, Waer M, Hauglustaine D, Michielsen P. Corticosteroid withdrawal syndrome in dialysis patients. </w:t>
      </w:r>
      <w:r w:rsidRPr="0016371F">
        <w:t>Nephrol Dial Transplant 1988; 3: 476-477</w:t>
      </w:r>
    </w:p>
    <w:p w14:paraId="53678D9E" w14:textId="77777777" w:rsidR="0011448D" w:rsidRPr="0011448D" w:rsidRDefault="00784331" w:rsidP="00346D2E">
      <w:pPr>
        <w:pStyle w:val="ListParagraph"/>
        <w:numPr>
          <w:ilvl w:val="0"/>
          <w:numId w:val="5"/>
        </w:numPr>
        <w:rPr>
          <w:highlight w:val="white"/>
        </w:rPr>
      </w:pPr>
      <w:r w:rsidRPr="0011448D">
        <w:t xml:space="preserve"> Elmahi N, Csongradi E, Kokko K, Lewin JR, Davison J, Fulop T. Residual renal function in peritoneal dialysis with failed allograft and minimal immunosuppression. World J Transplant 2013 June 24; 3(2):26-29.  </w:t>
      </w:r>
      <w:r w:rsidRPr="0011448D">
        <w:rPr>
          <w:rFonts w:eastAsia="Times New Roman"/>
          <w:sz w:val="24"/>
          <w:szCs w:val="24"/>
        </w:rPr>
        <w:t xml:space="preserve"> </w:t>
      </w:r>
    </w:p>
    <w:p w14:paraId="3522197E" w14:textId="57F7AAFD" w:rsidR="00784331" w:rsidRPr="0011448D" w:rsidRDefault="00784331" w:rsidP="00346D2E">
      <w:pPr>
        <w:pStyle w:val="ListParagraph"/>
        <w:numPr>
          <w:ilvl w:val="0"/>
          <w:numId w:val="5"/>
        </w:numPr>
        <w:rPr>
          <w:highlight w:val="white"/>
        </w:rPr>
      </w:pPr>
      <w:r w:rsidRPr="0011448D">
        <w:rPr>
          <w:highlight w:val="white"/>
        </w:rPr>
        <w:t xml:space="preserve">Pham, P.T. and Pham, P.C., 2011, May. Immunosuppressive management of dialysis patients with recently failed transplants. In </w:t>
      </w:r>
      <w:r w:rsidRPr="0011448D">
        <w:rPr>
          <w:i/>
          <w:highlight w:val="white"/>
        </w:rPr>
        <w:t>Seminars in dialysis</w:t>
      </w:r>
      <w:r w:rsidRPr="0011448D">
        <w:rPr>
          <w:highlight w:val="white"/>
        </w:rPr>
        <w:t xml:space="preserve"> (Vol. 24, No. 3, pp. 307-313). Oxford, UK: Blackwell Publishing Ltd.</w:t>
      </w:r>
    </w:p>
    <w:p w14:paraId="64FA99C8" w14:textId="77777777" w:rsidR="00784331" w:rsidRPr="0016371F" w:rsidRDefault="00784331" w:rsidP="00346D2E">
      <w:pPr>
        <w:pStyle w:val="ListParagraph"/>
        <w:numPr>
          <w:ilvl w:val="0"/>
          <w:numId w:val="5"/>
        </w:numPr>
        <w:rPr>
          <w:highlight w:val="white"/>
        </w:rPr>
      </w:pPr>
      <w:r w:rsidRPr="007E02DA">
        <w:rPr>
          <w:highlight w:val="white"/>
        </w:rPr>
        <w:lastRenderedPageBreak/>
        <w:t xml:space="preserve">Delgado, P., Diaz, F., Gonzalez, A., Sanchez, E., Gutierrez, P., Hernandez, D., Torres, A. and Lorenzo, V., 2005. </w:t>
      </w:r>
      <w:r w:rsidRPr="0016371F">
        <w:rPr>
          <w:highlight w:val="white"/>
        </w:rPr>
        <w:t xml:space="preserve">Intolerance syndrome in failed renal allografts: incidence and efficacy of percutaneous embolization. </w:t>
      </w:r>
      <w:r w:rsidRPr="0016371F">
        <w:rPr>
          <w:i/>
          <w:highlight w:val="white"/>
        </w:rPr>
        <w:t>American journal of kidney diseases</w:t>
      </w:r>
      <w:r w:rsidRPr="0016371F">
        <w:rPr>
          <w:highlight w:val="white"/>
        </w:rPr>
        <w:t xml:space="preserve">, </w:t>
      </w:r>
      <w:r w:rsidRPr="0016371F">
        <w:rPr>
          <w:i/>
          <w:highlight w:val="white"/>
        </w:rPr>
        <w:t>46</w:t>
      </w:r>
      <w:r w:rsidRPr="0016371F">
        <w:rPr>
          <w:highlight w:val="white"/>
        </w:rPr>
        <w:t>(2), pp.339-344.</w:t>
      </w:r>
    </w:p>
    <w:p w14:paraId="4C962B00" w14:textId="77777777" w:rsidR="00784331" w:rsidRPr="0016371F" w:rsidRDefault="00784331" w:rsidP="00346D2E">
      <w:pPr>
        <w:pStyle w:val="ListParagraph"/>
        <w:numPr>
          <w:ilvl w:val="0"/>
          <w:numId w:val="5"/>
        </w:numPr>
        <w:rPr>
          <w:highlight w:val="white"/>
        </w:rPr>
      </w:pPr>
      <w:r w:rsidRPr="007E02DA">
        <w:rPr>
          <w:highlight w:val="white"/>
          <w:lang w:val="nl-NL"/>
        </w:rPr>
        <w:t xml:space="preserve">Bunthof KLW, Verhoeks CM, van den Brand JAJG, Hilbrands LB. </w:t>
      </w:r>
      <w:r w:rsidRPr="0016371F">
        <w:rPr>
          <w:highlight w:val="white"/>
        </w:rPr>
        <w:t xml:space="preserve">Graft intolerance syndrome requiring graft nephrectomy after late kidney graft failure: can it be predicted? A retrospective cohort </w:t>
      </w:r>
      <w:proofErr w:type="gramStart"/>
      <w:r w:rsidRPr="0016371F">
        <w:rPr>
          <w:highlight w:val="white"/>
        </w:rPr>
        <w:t>study</w:t>
      </w:r>
      <w:proofErr w:type="gramEnd"/>
      <w:r w:rsidRPr="0016371F">
        <w:rPr>
          <w:highlight w:val="white"/>
        </w:rPr>
        <w:t>. Transpl Int. 2018 Feb;31(2):220-229. doi: 10.1111/tri.13088. Epub 2017 Nov 16. PMID: 29082567.</w:t>
      </w:r>
    </w:p>
    <w:p w14:paraId="6B8C6396" w14:textId="65DDE836" w:rsidR="00784331" w:rsidRPr="0016371F" w:rsidRDefault="00784331" w:rsidP="00346D2E">
      <w:pPr>
        <w:pStyle w:val="ListParagraph"/>
        <w:numPr>
          <w:ilvl w:val="0"/>
          <w:numId w:val="5"/>
        </w:numPr>
        <w:rPr>
          <w:rFonts w:eastAsia="Arial"/>
          <w:highlight w:val="white"/>
        </w:rPr>
      </w:pPr>
      <w:r w:rsidRPr="0016371F">
        <w:t>Gaetano Lucisano, Paul Brookes, Eva Santos-Nunez, Nicola Firmin, Nicola Gunby, Sevda Hassan, Alexander Gueret-Wardle, Paul Herbert, Vassilios Papalois, Michelle Willicombe &amp; David Taube. Allosensitization after transplant failure: the role of graft nephrectomy and immunosuppression – a retrospective study. Transplant International 2019; 32:949-959</w:t>
      </w:r>
    </w:p>
    <w:p w14:paraId="2AC32FFF" w14:textId="77777777" w:rsidR="00EE5CC4" w:rsidRDefault="00EE5CC4" w:rsidP="00784331">
      <w:pPr>
        <w:contextualSpacing/>
        <w:jc w:val="both"/>
        <w:rPr>
          <w:rFonts w:eastAsia="Arial" w:cstheme="minorHAnsi"/>
        </w:rPr>
        <w:sectPr w:rsidR="00EE5CC4" w:rsidSect="00EE5CC4">
          <w:type w:val="continuous"/>
          <w:pgSz w:w="11906" w:h="16838"/>
          <w:pgMar w:top="709" w:right="1440" w:bottom="1440" w:left="1440" w:header="708" w:footer="708" w:gutter="0"/>
          <w:cols w:space="708"/>
          <w:docGrid w:linePitch="360"/>
        </w:sectPr>
      </w:pPr>
    </w:p>
    <w:p w14:paraId="20096BD2" w14:textId="77777777" w:rsidR="00784331" w:rsidRDefault="00784331" w:rsidP="00784331">
      <w:pPr>
        <w:pStyle w:val="Heading1"/>
        <w:spacing w:before="0" w:after="160" w:line="276" w:lineRule="auto"/>
      </w:pPr>
      <w:bookmarkStart w:id="30" w:name="_Toc128329938"/>
      <w:r>
        <w:lastRenderedPageBreak/>
        <w:t xml:space="preserve">3 </w:t>
      </w:r>
      <w:r>
        <w:rPr>
          <w:sz w:val="36"/>
          <w:szCs w:val="36"/>
        </w:rPr>
        <w:t>SURGICAL CONSIDERATIONS</w:t>
      </w:r>
      <w:bookmarkEnd w:id="30"/>
    </w:p>
    <w:p w14:paraId="247A21B2" w14:textId="4F362966" w:rsidR="00784331" w:rsidRPr="006D70DB" w:rsidRDefault="00784331" w:rsidP="00784331">
      <w:pPr>
        <w:pStyle w:val="Heading2"/>
        <w:spacing w:before="0" w:after="160" w:line="276" w:lineRule="auto"/>
      </w:pPr>
      <w:bookmarkStart w:id="31" w:name="_Toc128329939"/>
      <w:r w:rsidRPr="006D70DB">
        <w:t xml:space="preserve">Statements of </w:t>
      </w:r>
      <w:r w:rsidR="00514677">
        <w:t>R</w:t>
      </w:r>
      <w:r w:rsidRPr="006D70DB">
        <w:t>ecommendation</w:t>
      </w:r>
      <w:bookmarkEnd w:id="31"/>
    </w:p>
    <w:p w14:paraId="7C6B6B4C" w14:textId="77777777" w:rsidR="00784331" w:rsidRDefault="00784331" w:rsidP="00BC44BA">
      <w:r>
        <w:t>We suggest that:</w:t>
      </w:r>
    </w:p>
    <w:p w14:paraId="4000474F" w14:textId="78DFE2AF" w:rsidR="00784331" w:rsidRPr="0011448D" w:rsidRDefault="00784331" w:rsidP="00346D2E">
      <w:pPr>
        <w:pStyle w:val="ListParagraph"/>
        <w:numPr>
          <w:ilvl w:val="0"/>
          <w:numId w:val="6"/>
        </w:numPr>
      </w:pPr>
      <w:r w:rsidRPr="00923D22">
        <w:t>Graft nephrectomy should be considered on a case-by-case basis</w:t>
      </w:r>
      <w:r w:rsidR="0011448D">
        <w:t>.</w:t>
      </w:r>
      <w:r w:rsidRPr="00923D22">
        <w:t xml:space="preserve"> </w:t>
      </w:r>
      <w:r w:rsidRPr="0011448D">
        <w:t>(ungraded)</w:t>
      </w:r>
    </w:p>
    <w:p w14:paraId="65BC6F8C" w14:textId="1AB688B7" w:rsidR="00784331" w:rsidRPr="0011448D" w:rsidRDefault="00784331" w:rsidP="00346D2E">
      <w:pPr>
        <w:pStyle w:val="ListParagraph"/>
        <w:numPr>
          <w:ilvl w:val="0"/>
          <w:numId w:val="6"/>
        </w:numPr>
      </w:pPr>
      <w:r w:rsidRPr="00923D22">
        <w:t>Asymptomatic graft nephrectomy is not recommended outside of a clinical trial</w:t>
      </w:r>
      <w:r w:rsidR="0011448D">
        <w:t>.</w:t>
      </w:r>
      <w:r w:rsidRPr="00923D22">
        <w:t xml:space="preserve"> </w:t>
      </w:r>
      <w:r w:rsidRPr="0011448D">
        <w:t>(ungraded)</w:t>
      </w:r>
    </w:p>
    <w:p w14:paraId="09104380" w14:textId="22736408" w:rsidR="00784331" w:rsidRPr="0011448D" w:rsidRDefault="00784331" w:rsidP="00346D2E">
      <w:pPr>
        <w:pStyle w:val="ListParagraph"/>
        <w:numPr>
          <w:ilvl w:val="0"/>
          <w:numId w:val="6"/>
        </w:numPr>
      </w:pPr>
      <w:r w:rsidRPr="00923D22">
        <w:t>Percutaneous embolization may be considered for high-risk patients with graft-intolerance syndrome</w:t>
      </w:r>
      <w:r w:rsidR="0011448D">
        <w:t>.</w:t>
      </w:r>
      <w:r w:rsidRPr="00923D22">
        <w:t xml:space="preserve"> </w:t>
      </w:r>
      <w:r w:rsidRPr="0011448D">
        <w:t>(2D)</w:t>
      </w:r>
    </w:p>
    <w:p w14:paraId="4FFA3FB8" w14:textId="58AB33EB" w:rsidR="00784331" w:rsidRPr="0011448D" w:rsidRDefault="00784331" w:rsidP="00346D2E">
      <w:pPr>
        <w:pStyle w:val="ListParagraph"/>
        <w:numPr>
          <w:ilvl w:val="0"/>
          <w:numId w:val="6"/>
        </w:numPr>
      </w:pPr>
      <w:r w:rsidRPr="00923D22">
        <w:t>Patients with failing transplants should be referred early for vascular access to ensure they optimise their likelihood of restarting dialysis using a fistula or graft, or peritoneal dialysis as appropriate</w:t>
      </w:r>
      <w:r w:rsidR="0011448D">
        <w:t>.</w:t>
      </w:r>
      <w:r w:rsidRPr="00923D22">
        <w:t xml:space="preserve"> </w:t>
      </w:r>
      <w:r w:rsidRPr="0011448D">
        <w:t>(2D)</w:t>
      </w:r>
    </w:p>
    <w:p w14:paraId="4E6B54DA" w14:textId="77777777" w:rsidR="00784331" w:rsidRDefault="00784331" w:rsidP="00784331">
      <w:pPr>
        <w:pStyle w:val="Heading2"/>
        <w:spacing w:before="0" w:after="160" w:line="276" w:lineRule="auto"/>
      </w:pPr>
      <w:bookmarkStart w:id="32" w:name="_Toc128329940"/>
      <w:r>
        <w:t>Rationale</w:t>
      </w:r>
      <w:bookmarkEnd w:id="32"/>
    </w:p>
    <w:p w14:paraId="06A31554" w14:textId="77777777" w:rsidR="00784331" w:rsidRPr="006D70DB" w:rsidRDefault="00784331" w:rsidP="00784331">
      <w:pPr>
        <w:pStyle w:val="Heading3"/>
        <w:spacing w:before="0" w:after="160" w:line="276" w:lineRule="auto"/>
      </w:pPr>
      <w:bookmarkStart w:id="33" w:name="_Toc128329941"/>
      <w:r>
        <w:t xml:space="preserve">3.1 </w:t>
      </w:r>
      <w:r w:rsidRPr="006D70DB">
        <w:t>Introduction</w:t>
      </w:r>
      <w:bookmarkEnd w:id="33"/>
    </w:p>
    <w:p w14:paraId="3975DABC" w14:textId="681F8733" w:rsidR="00784331" w:rsidRPr="002776F5" w:rsidRDefault="00784331" w:rsidP="0011448D">
      <w:pPr>
        <w:spacing w:line="276" w:lineRule="auto"/>
        <w:jc w:val="both"/>
      </w:pPr>
      <w:r w:rsidRPr="002776F5">
        <w:t xml:space="preserve">There is </w:t>
      </w:r>
      <w:r w:rsidR="0011448D">
        <w:t>considerable</w:t>
      </w:r>
      <w:r w:rsidRPr="002776F5">
        <w:t xml:space="preserve"> international variation in the incidence of transplant nephrectomy following graft failure, with reported rates in a recent review ranging between 20-80% in patients undergoing retransplantation</w:t>
      </w:r>
      <w:r w:rsidRPr="002776F5">
        <w:fldChar w:fldCharType="begin" w:fldLock="1"/>
      </w:r>
      <w:r w:rsidRPr="002776F5">
        <w:instrText>ADDIN CSL_CITATION {"citationItems":[{"id":"ITEM-1","itemData":{"DOI":"https://doi.org/10.1016/j.trre.2018.08.001","ISSN":"0955-470X","abstract":"In this review, we describe the indications, surgical aspects, benefits and risks of nephrectomy after graft failure. There is a great variation in the number of allograft nephrectomies performed among different centers. Nephrectomy of a failed allograft is associated with significant morbidity and mortality with a complication rate of 20–30% and mortality rates between 0% and 11%. A systematic review through Medline (Pubmed) and Embase identified thirteen retrospective studies that compared patients with and patients without allograft nephrectomy prior to retransplantation. Allograft nephrectomy associates with an increased risk of HLA antibody development. With two recent studies that used the more sensitive HLA antibody detection methods disproving the hypothesis of intragraft adsorption of HLA antibodies, the mechanism leading to the increased HLA antibody levels is not clear, but the role of immunosuppression withdrawal is becoming clear and needs further investigation. In nine of the thirteen studies that evaluated the impact of allograft nephrectomy on outcome in retransplantation, retransplant graft survival was not significantly different among patients with and patients without allograft nephrectomy. Only three studies showed significantly worse retransplant graft survival if prior allograft nephrectomy was performed. Most studies did not observe a significant difference in patient survival after retransplantation with versus without prior allograft nephrectomy. All studies were affected by the retrospective design, indication bias, and selection bias. On the basis of the available literature on this topic, we did not identify a clear advantage or disadvantage of allograft nephrectomy, in terms of outcome after repeat transplantation. Nevertheless, the significantly increased risk of HLA antibody sensitization, especially in patients at high immunological risk like high donor-recipientHLA epitope mismatch load and HLA-DQB1 mismatches, argues against routine allograft nephrectomy and immunosuppression withdrawal in asymptomatic patients who are eligible for repeat transplantation.","author":[{"dropping-particle":"","family":"Ghyselen","given":"Lisa","non-dropping-particle":"","parse-names":false,"suffix":""},{"dropping-particle":"","family":"Naesens","given":"Maarten","non-dropping-particle":"","parse-names":false,"suffix":""}],"container-title":"Transplantation Reviews","id":"ITEM-1","issue":"1","issued":{"date-parts":[["2019"]]},"page":"48-54","title":"Indications, risks and impact of failed allograft nephrectomy","type":"article-journal","volume":"33"},"uris":["http://www.mendeley.com/documents/?uuid=6db8ceaa-0d74-45f2-8af1-fbc031d71f12"]}],"mendeley":{"formattedCitation":"&lt;sup&gt;1&lt;/sup&gt;","plainTextFormattedCitation":"1","previouslyFormattedCitation":"&lt;sup&gt;1&lt;/sup&gt;"},"properties":{"noteIndex":0},"schema":"https://github.com/citation-style-language/schema/raw/master/csl-citation.json"}</w:instrText>
      </w:r>
      <w:r w:rsidRPr="002776F5">
        <w:fldChar w:fldCharType="separate"/>
      </w:r>
      <w:r w:rsidRPr="002776F5">
        <w:rPr>
          <w:noProof/>
          <w:vertAlign w:val="superscript"/>
        </w:rPr>
        <w:t>1</w:t>
      </w:r>
      <w:r w:rsidRPr="002776F5">
        <w:fldChar w:fldCharType="end"/>
      </w:r>
      <w:r w:rsidRPr="002776F5">
        <w:t>. There is no published registry data from the UK, although a recent unpublished survey suggests that rates are substantially lower. There is little evidence to explain this variation in practice. This chapter presents possible indications and a description of available techniques, along with evidence for vascular access strategies prior to restarting dialysis.</w:t>
      </w:r>
    </w:p>
    <w:p w14:paraId="79552001" w14:textId="77777777" w:rsidR="00784331" w:rsidRDefault="00784331" w:rsidP="00784331">
      <w:pPr>
        <w:pStyle w:val="Heading3"/>
        <w:spacing w:before="0" w:after="160" w:line="276" w:lineRule="auto"/>
      </w:pPr>
      <w:bookmarkStart w:id="34" w:name="_Toc128329942"/>
      <w:r>
        <w:t xml:space="preserve">3.2 </w:t>
      </w:r>
      <w:r w:rsidRPr="006D70DB">
        <w:t>Graft nephrectomy</w:t>
      </w:r>
      <w:bookmarkEnd w:id="34"/>
    </w:p>
    <w:p w14:paraId="51B9D207" w14:textId="40A60B68" w:rsidR="00784331" w:rsidRPr="0074423A" w:rsidRDefault="00784331" w:rsidP="00784331">
      <w:pPr>
        <w:pStyle w:val="Heading4"/>
        <w:spacing w:before="0" w:after="160" w:line="276" w:lineRule="auto"/>
      </w:pPr>
      <w:bookmarkStart w:id="35" w:name="_Toc128329943"/>
      <w:r>
        <w:t xml:space="preserve">3.2.1 </w:t>
      </w:r>
      <w:r w:rsidR="00D77243">
        <w:tab/>
      </w:r>
      <w:r>
        <w:t>Indications</w:t>
      </w:r>
      <w:bookmarkEnd w:id="35"/>
    </w:p>
    <w:p w14:paraId="60BB468F" w14:textId="77777777" w:rsidR="00784331" w:rsidRPr="002776F5" w:rsidRDefault="00784331" w:rsidP="00784331">
      <w:pPr>
        <w:spacing w:line="276" w:lineRule="auto"/>
        <w:jc w:val="both"/>
      </w:pPr>
      <w:r w:rsidRPr="002776F5">
        <w:t>Graft nephrectomy is a major operation associated with a significant risk of morbidity and mortality. In addition, there are other potential disadvantages to graft nephrectomy such as the loss of residual allograft endocrine function and urine output.</w:t>
      </w:r>
    </w:p>
    <w:p w14:paraId="0B8ECAFF" w14:textId="5A3EAE09" w:rsidR="00784331" w:rsidRPr="002776F5" w:rsidRDefault="00784331" w:rsidP="00784331">
      <w:pPr>
        <w:spacing w:line="276" w:lineRule="auto"/>
        <w:jc w:val="both"/>
      </w:pPr>
      <w:r w:rsidRPr="002776F5">
        <w:t>There are broadly accepted indications for graft nephrectomy, including acute peri-transplant vascular thrombosis, risk of graft rupture, graft malignancy, recurrent sepsis, graft intolerance syndrome, requirement for immunosuppression withdrawal and to create space for further transplants. Graft rupture is an uncommon early complication of renal transplantation, typically associated with severe acute rejection</w:t>
      </w:r>
      <w:r w:rsidRPr="002776F5">
        <w:fldChar w:fldCharType="begin" w:fldLock="1"/>
      </w:r>
      <w:r w:rsidRPr="002776F5">
        <w:instrText>ADDIN CSL_CITATION {"citationItems":[{"id":"ITEM-1","itemData":{"DOI":"10.1093/ndt/16.1.124","ISSN":"0931-0509 (Print)","PMID":"11209005","abstract":"BACKGROUND: Whereas rejection was reported to be the most common cause of renal  allograft rupture (RAR) in the pre-cyclosporin era, renal vein thrombosis (RVT) is purported to be the main cause of RAR in patients taking cyclosporin. The extremely low incidence of RVT in our series (0.11%) prompted us to analyse our collective with regard to RAR. METHOD: Between 1974 and 1999, 1811 renal transplants were performed. Patients with RAR, defined as a tear of the renal capsule and parenchyma, were identified and possible underlying factors studied. RESULTS: RAR was diagnosed in nine male and five female recipients (0.8%) with a median age of 36 years. Immunosuppression consisted of azathioprine and prednisolone in seven patients and of cyclosporin-based therapy in the seven others. At exploration five grafts were removed immediately: three because of irreversible rejection, one because of deep wound infection, and one with a twisted renal vein. Six of the nine salvaged kidneys have been functioning after a mean observation time of 45 months. In the pre-cyclosporin era RAR was associated with acute rejection in five out of seven cases as compared with only three of the seven on cyclosporin treatment. Core biopsies might have been the cause in three cases. CONCLUSION: RAR is a rare complication after renal transplantation. Acute rejection still represents the most frequent cause of RAR in the cyclosporin era.","author":[{"dropping-particle":"","family":"Hochleitner","given":"B W","non-dropping-particle":"","parse-names":false,"suffix":""},{"dropping-particle":"","family":"Kafka","given":"R","non-dropping-particle":"","parse-names":false,"suffix":""},{"dropping-particle":"","family":"Spechtenhauser","given":"B","non-dropping-particle":"","parse-names":false,"suffix":""},{"dropping-particle":"","family":"Bösmüller","given":"C","non-dropping-particle":"","parse-names":false,"suffix":""},{"dropping-particle":"","family":"Steurer","given":"W","non-dropping-particle":"","parse-names":false,"suffix":""},{"dropping-particle":"","family":"Königsrainer","given":"A","non-dropping-particle":"","parse-names":false,"suffix":""},{"dropping-particle":"","family":"Margreiter","given":"R","non-dropping-particle":"","parse-names":false,"suffix":""}],"container-title":"Nephrology, dialysis, transplantation : official publication of the European  Dialysis and Transplant Association - European Renal Association","id":"ITEM-1","issue":"1","issued":{"date-parts":[["2001","1"]]},"language":"eng","page":"124-127","publisher-place":"England","title":"Renal allograft rupture is associated with rejection or acute tubular necrosis,  but not with renal vein thrombosis.","type":"article-journal","volume":"16"},"uris":["http://www.mendeley.com/documents/?uuid=53987e2d-a94e-4703-931c-087adbfcb84d"]}],"mendeley":{"formattedCitation":"&lt;sup&gt;2&lt;/sup&gt;","plainTextFormattedCitation":"2","previouslyFormattedCitation":"&lt;sup&gt;2&lt;/sup&gt;"},"properties":{"noteIndex":0},"schema":"https://github.com/citation-style-language/schema/raw/master/csl-citation.json"}</w:instrText>
      </w:r>
      <w:r w:rsidRPr="002776F5">
        <w:fldChar w:fldCharType="separate"/>
      </w:r>
      <w:r w:rsidRPr="002776F5">
        <w:rPr>
          <w:noProof/>
          <w:vertAlign w:val="superscript"/>
        </w:rPr>
        <w:t>2</w:t>
      </w:r>
      <w:r w:rsidRPr="002776F5">
        <w:fldChar w:fldCharType="end"/>
      </w:r>
      <w:r w:rsidRPr="002776F5">
        <w:t>. Graft malignancy, either de-novo or donor-derived is very uncommon with renal cell carcinoma the most commonly reported malignancy</w:t>
      </w:r>
      <w:r w:rsidRPr="002776F5">
        <w:fldChar w:fldCharType="begin" w:fldLock="1"/>
      </w:r>
      <w:r w:rsidRPr="002776F5">
        <w:instrText>ADDIN CSL_CITATION {"citationItems":[{"id":"ITEM-1","itemData":{"ISSN":"0041-1337","abstract":"Kidney transplant recipients (KTRs) are at increased risk of developing renal cell carcinoma (RCC). The cancer can be encountered at different steps in the transplant process. RCC found during work-up of a transplant candidate needs treatment and to limit the risk of recurrence usually a mandatory observation period before transplantation is recommended. An observation period may be omitted for candidates with incidentally discovered and excised small RCCs (&lt;3 cm). Likewise, RCC in the donor organ may not always preclude usage if tumor is small (&lt;2 to 4 cm) and removed with clear margins before transplantation. After transplantation, 90% of RCCs are detected in the native kidneys, particularly if acquired cystic kidney disease has developed during prolonged dialysis. Screening for RCC after transplantation has not been found cost-effective. Treatment of RCC in KTRs poses challenges with adjustments of immunosuppression and oncologic treatments. For localized RCC, excision or nephrectomy is often curative. For metastatic RCC, recent landmark trials in the nontransplanted population demonstrate that immunotherapy combinations improve survival. Dedicated trials in KTRs are lacking. Case series on immune checkpoint inhibitors in solid organ recipients with a range of cancer types indicate partial or complete tumor response in approximately one-third of the patients at the cost of rejection developing in ~40%.","author":[{"dropping-particle":"","family":"Dahle","given":"Dag Olav","non-dropping-particle":"","parse-names":false,"suffix":""},{"dropping-particle":"","family":"Skauby","given":"Morten","non-dropping-particle":"","parse-names":false,"suffix":""},{"dropping-particle":"","family":"Langberg","given":"Carl Wilhelm","non-dropping-particle":"","parse-names":false,"suffix":""},{"dropping-particle":"","family":"Brabrand","given":"Knut","non-dropping-particle":"","parse-names":false,"suffix":""},{"dropping-particle":"","family":"Wessel","given":"Nicolai","non-dropping-particle":"","parse-names":false,"suffix":""},{"dropping-particle":"","family":"Midtvedt","given":"Karsten","non-dropping-particle":"","parse-names":false,"suffix":""}],"container-title":"Transplantation","id":"ITEM-1","issue":"1","issued":{"date-parts":[["2022"]]},"title":"Renal Cell Carcinoma and Kidney Transplantation: A Narrative Review","type":"article-journal","volume":"106"},"uris":["http://www.mendeley.com/documents/?uuid=b5ebce9e-34e4-4a98-aceb-c66ef7192c68"]},{"id":"ITEM-2","itemData":{"DOI":"10.1007/s40620-020-00775-4","ISSN":"1724-6059","abstract":"The transmission of cancer from a donor organ is a rare event but has important consequences. Aim of this systematic review was to summarize all the published evidence on cancer transmission in kidney recipients. We reviewed published case reports and series describing the outcome of recipients with donor-transmitted cancer until August 2019. A total of 128 papers were included, representing 234 recipients. The most common transmitted cancers were lymphoma (n = 48, 20.5%), renal cancer (42, 17.9%), melanoma (40, 17.1%), non-small cell lung cancer (n = 13, 5.6%), neuroendocrine cancers comprising small cell lung cancer (n = 11, 4.7%) and choriocarcinoma (n = 10, 4.3%). There was a relative lack of glioblastoma and gastrointestinal cancers with only 6 and 5 cases, respectively. Melanoma and lung cancer had the worst prognosis, with 5-years overall survival of 43% and 19%, respectively; while renal cell cancer and lymphomas had a favorable prognosis with 5-years overall survival of 93 and 63%, respectively. Metastasis of cancer outside the graft was the most important adverse prognostic factor. Overall reporting was good, but information on donors’ cause of death and investigations at procurement was often lacking. Epidemiology of transmitted cancer has evolved, thanks to screening with imaging and blood tests, as choriocarcinoma transmission have almost abolished, while melanoma and lymphoma are still difficult to detect and prevent.","author":[{"dropping-particle":"","family":"Eccher","given":"Albino","non-dropping-particle":"","parse-names":false,"suffix":""},{"dropping-particle":"","family":"Girolami","given":"Ilaria","non-dropping-particle":"","parse-names":false,"suffix":""},{"dropping-particle":"","family":"Motter","given":"Jennifer Danielle","non-dropping-particle":"","parse-names":false,"suffix":""},{"dropping-particle":"","family":"Marletta","given":"Stefano","non-dropping-particle":"","parse-names":false,"suffix":""},{"dropping-particle":"","family":"Gambaro","given":"Giovanni","non-dropping-particle":"","parse-names":false,"suffix":""},{"dropping-particle":"","family":"Momo","given":"Rostand Emmanuel Nguefuet","non-dropping-particle":"","parse-names":false,"suffix":""},{"dropping-particle":"","family":"Nacchia","given":"Francesco","non-dropping-particle":"","parse-names":false,"suffix":""},{"dropping-particle":"","family":"Donato","given":"Paola","non-dropping-particle":"","parse-names":false,"suffix":""},{"dropping-particle":"","family":"Boschiero","given":"Luigino","non-dropping-particle":"","parse-names":false,"suffix":""},{"dropping-particle":"","family":"Boggi","given":"Ugo","non-dropping-particle":"","parse-names":false,"suffix":""},{"dropping-particle":"","family":"Lombardini","given":"Letizia","non-dropping-particle":"","parse-names":false,"suffix":""},{"dropping-particle":"","family":"Cardillo","given":"Massimo","non-dropping-particle":"","parse-names":false,"suffix":""},{"dropping-particle":"","family":"D’Errico","given":"Antonietta","non-dropping-particle":"","parse-names":false,"suffix":""},{"dropping-particle":"","family":"Neil","given":"Desley","non-dropping-particle":"","parse-names":false,"suffix":""},{"dropping-particle":"","family":"Segev","given":"Dorry Lidor","non-dropping-particle":"","parse-names":false,"suffix":""},{"dropping-particle":"","family":"Zaza","given":"Gianluigi","non-dropping-particle":"","parse-names":false,"suffix":""}],"container-title":"Journal of Nephrology","id":"ITEM-2","issue":"6","issued":{"date-parts":[["2020"]]},"page":"1321-1332","title":"Donor-transmitted cancer in kidney transplant recipients: a systematic review","type":"article-journal","volume":"33"},"uris":["http://www.mendeley.com/documents/?uuid=a877d85a-2e45-4da6-9048-2fd10b67b925"]}],"mendeley":{"formattedCitation":"&lt;sup&gt;3,4&lt;/sup&gt;","plainTextFormattedCitation":"3,4","previouslyFormattedCitation":"&lt;sup&gt;3,4&lt;/sup&gt;"},"properties":{"noteIndex":0},"schema":"https://github.com/citation-style-language/schema/raw/master/csl-citation.json"}</w:instrText>
      </w:r>
      <w:r w:rsidRPr="002776F5">
        <w:fldChar w:fldCharType="separate"/>
      </w:r>
      <w:r w:rsidRPr="002776F5">
        <w:rPr>
          <w:noProof/>
          <w:vertAlign w:val="superscript"/>
        </w:rPr>
        <w:t>3,4</w:t>
      </w:r>
      <w:r w:rsidRPr="002776F5">
        <w:fldChar w:fldCharType="end"/>
      </w:r>
      <w:r w:rsidRPr="002776F5">
        <w:t>. Chronic intractable pyelonephritis has been widely reported as an indication for graft nephrectomy. Nephrectomy following graft loss due to BK nephropathy, is not clearly indicated. Graft intolerance syndrome is a chronic inflammatory state associated with the failed transplant and can be characterised by fever, graft tenderness, haematuria, malaise and refractory anaemia</w:t>
      </w:r>
      <w:r w:rsidRPr="002776F5">
        <w:fldChar w:fldCharType="begin" w:fldLock="1"/>
      </w:r>
      <w:r w:rsidRPr="002776F5">
        <w:instrText>ADDIN CSL_CITATION {"citationItems":[{"id":"ITEM-1","itemData":{"DOI":"10.1111/ajt.16717","ISSN":"1600-6143 (Electronic)","PMID":"34115439","abstract":"The return to dialysis after allograft failure is associated with increased  morbidity and mortality. This transition is made more complex by the rising numbers of patients who seek repeat transplantation and therefore may have indications for remaining on low levels of immunosuppression, despite the potential increased morbidity. Management strategies vary across providers, driven by limited data on how to transition off immunosuppression as the allograft fails and a paucity of randomized controlled trials to support one approach over another. In this review, we summarize the current data available for management and care of the failing allograft. Additionally, we discuss a suggested plan for immunosuppression weaning based upon the availability of re-transplantation and residual allograft function. We propose a shared-care model in which there is improved coordination between transplant providers and general nephrologists so that immunosuppression management and preparation for renal replacement therapy and/or repeat transplantation can be conducted with the goal of improved outcomes and decreased morbidity in this vulnerable patient group.","author":[{"dropping-particle":"","family":"Lubetzky","given":"Michelle","non-dropping-particle":"","parse-names":false,"suffix":""},{"dropping-particle":"","family":"Tantisattamo","given":"Ekamol","non-dropping-particle":"","parse-names":false,"suffix":""},{"dropping-particle":"","family":"Molnar","given":"Miklos Z","non-dropping-particle":"","parse-names":false,"suffix":""},{"dropping-particle":"","family":"Lentine","given":"Krista L","non-dropping-particle":"","parse-names":false,"suffix":""},{"dropping-particle":"","family":"Basu","given":"Arpita","non-dropping-particle":"","parse-names":false,"suffix":""},{"dropping-particle":"","family":"Parsons","given":"Ronald F","non-dropping-particle":"","parse-names":false,"suffix":""},{"dropping-particle":"","family":"Woodside","given":"Kenneth J","non-dropping-particle":"","parse-names":false,"suffix":""},{"dropping-particle":"","family":"Pavlakis","given":"Martha","non-dropping-particle":"","parse-names":false,"suffix":""},{"dropping-particle":"","family":"Blosser","given":"Christopher D","non-dropping-particle":"","parse-names":false,"suffix":""},{"dropping-particle":"","family":"Singh","given":"Neeraj","non-dropping-particle":"","parse-names":false,"suffix":""},{"dropping-particle":"","family":"Concepcion","given":"Beatrice P","non-dropping-particle":"","parse-names":false,"suffix":""},{"dropping-particle":"","family":"Adey","given":"Deborah","non-dropping-particle":"","parse-names":false,"suffix":""},{"dropping-particle":"","family":"Gupta","given":"Gaurav","non-dropping-particle":"","parse-names":false,"suffix":""},{"dropping-particle":"","family":"Faravardeh","given":"Arman","non-dropping-particle":"","parse-names":false,"suffix":""},{"dropping-particle":"","family":"Kraus","given":"Edward","non-dropping-particle":"","parse-names":false,"suffix":""},{"dropping-particle":"","family":"Ong","given":"Song","non-dropping-particle":"","parse-names":false,"suffix":""},{"dropping-particle":"V","family":"Riella","given":"Leonardo","non-dropping-particle":"","parse-names":false,"suffix":""},{"dropping-particle":"","family":"Friedewald","given":"John","non-dropping-particle":"","parse-names":false,"suffix":""},{"dropping-particle":"","family":"Wiseman","given":"Alex","non-dropping-particle":"","parse-names":false,"suffix":""},{"dropping-particle":"","family":"Aala","given":"Amtul","non-dropping-particle":"","parse-names":false,"suffix":""},{"dropping-particle":"","family":"Dadhania","given":"Darshana M","non-dropping-particle":"","parse-names":false,"suffix":""},{"dropping-particle":"","family":"Alhamad","given":"Tarek","non-dropping-particle":"","parse-names":false,"suffix":""}],"container-title":"American journal of transplantation : official journal of the American Society of  Transplantation and the American Society of Transplant Surgeons","id":"ITEM-1","issue":"9","issued":{"date-parts":[["2021","9"]]},"language":"eng","page":"2937-2949","publisher-place":"United States","title":"The failing kidney allograft: A review and recommendations for the care and  management of a complex group of patients.","type":"article-journal","volume":"21"},"uris":["http://www.mendeley.com/documents/?uuid=7b43d55c-1998-4a9e-af53-59d61776007d"]}],"mendeley":{"formattedCitation":"&lt;sup&gt;5&lt;/sup&gt;","plainTextFormattedCitation":"5","previouslyFormattedCitation":"&lt;sup&gt;5&lt;/sup&gt;"},"properties":{"noteIndex":0},"schema":"https://github.com/citation-style-language/schema/raw/master/csl-citation.json"}</w:instrText>
      </w:r>
      <w:r w:rsidRPr="002776F5">
        <w:fldChar w:fldCharType="separate"/>
      </w:r>
      <w:r w:rsidRPr="002776F5">
        <w:rPr>
          <w:noProof/>
          <w:vertAlign w:val="superscript"/>
        </w:rPr>
        <w:t>5</w:t>
      </w:r>
      <w:r w:rsidRPr="002776F5">
        <w:fldChar w:fldCharType="end"/>
      </w:r>
      <w:r w:rsidRPr="002776F5">
        <w:t xml:space="preserve">. One series suggests that the incidence of graft intolerance syndrome in patients returning to dialysis is as high as 30% </w:t>
      </w:r>
      <w:r w:rsidRPr="002776F5">
        <w:fldChar w:fldCharType="begin" w:fldLock="1"/>
      </w:r>
      <w:r w:rsidRPr="002776F5">
        <w:instrText>ADDIN CSL_CITATION {"citationItems":[{"id":"ITEM-1","itemData":{"DOI":"10.5527/wjn.v4.i2.148","ISSN":"2220-6124 (Print)","PMID":"25949929","abstract":"The number of patients reinitiating dialysis after a failed transplant increases  over time and has more than doubled between the year 1988 and 2010 (an increase from 2463 to 5588). More importantly, patients returning to dialysis have been shown to have a greater than three-fold increase in the annual adjusted mortality rates compared with those with a functioning graft. Continuation of immunosuppression to preserve residual graft function has been implicated to be a contributing factor, seemingly due to immunosuppression-associated cardiovascular and infectious complications and malignancy risk, among others. Nonetheless, maintenance low-dose immunosuppression has been suggested to confer survival benefit in patients returning to peritoneal dialysis. Whether early vs late reinitiation of dialysis or whether transplantectomy has an impact on patient survival remains poorly defined. Consensus guidelines for the management of a failed allograft are lacking. In this article, we present a literature overview on the ideal timing of dialysis reinitiation after graft loss, the management of immunosuppression after graft failure, and the risks and benefits of transplantectomy. The authors' perspectives on the management of this special patient population are also discussed.","author":[{"dropping-particle":"","family":"Pham","given":"Phuong-Thu","non-dropping-particle":"","parse-names":false,"suffix":""},{"dropping-particle":"","family":"Everly","given":"Matthew","non-dropping-particle":"","parse-names":false,"suffix":""},{"dropping-particle":"","family":"Faravardeh","given":"Arman","non-dropping-particle":"","parse-names":false,"suffix":""},{"dropping-particle":"","family":"Pham","given":"Phuong-Chi","non-dropping-particle":"","parse-names":false,"suffix":""}],"container-title":"World journal of nephrology","id":"ITEM-1","issue":"2","issued":{"date-parts":[["2015","5"]]},"language":"eng","page":"148-159","title":"Management of patients with a failed kidney transplant: Dialysis reinitiation,  immunosuppression weaning, and transplantectomy.","type":"article-journal","volume":"4"},"uris":["http://www.mendeley.com/documents/?uuid=e9ce35f0-9232-4ddf-a418-2d626772ba5f"]}],"mendeley":{"formattedCitation":"&lt;sup&gt;6&lt;/sup&gt;","plainTextFormattedCitation":"6","previouslyFormattedCitation":"&lt;sup&gt;6&lt;/sup&gt;"},"properties":{"noteIndex":0},"schema":"https://github.com/citation-style-language/schema/raw/master/csl-citation.json"}</w:instrText>
      </w:r>
      <w:r w:rsidRPr="002776F5">
        <w:fldChar w:fldCharType="separate"/>
      </w:r>
      <w:r w:rsidRPr="002776F5">
        <w:rPr>
          <w:noProof/>
          <w:vertAlign w:val="superscript"/>
        </w:rPr>
        <w:t>6</w:t>
      </w:r>
      <w:r w:rsidRPr="002776F5">
        <w:fldChar w:fldCharType="end"/>
      </w:r>
      <w:r w:rsidRPr="002776F5">
        <w:t>.</w:t>
      </w:r>
    </w:p>
    <w:p w14:paraId="000E5376" w14:textId="77777777" w:rsidR="00784331" w:rsidRPr="002776F5" w:rsidRDefault="00784331" w:rsidP="00784331">
      <w:pPr>
        <w:spacing w:line="276" w:lineRule="auto"/>
        <w:jc w:val="both"/>
      </w:pPr>
      <w:r w:rsidRPr="002776F5">
        <w:t>Graft nephrectomy in the context of an asymptomatic graft is controversial. A large US-based retrospective cohort study suggested that there was a 32% lower adjusted relative risk of mortality in patients who underwent graft nephrectomy following a return to dialysis</w:t>
      </w:r>
      <w:r w:rsidRPr="002776F5">
        <w:fldChar w:fldCharType="begin" w:fldLock="1"/>
      </w:r>
      <w:r w:rsidRPr="002776F5">
        <w:instrText>ADDIN CSL_CITATION {"citationItems":[{"id":"ITEM-1","itemData":{"DOI":"10.1681/ASN.2009050480","ISSN":"1533-3450 (Electronic)","PMID":"19875809","abstract":"There is a growing number of patients returning to dialysis after a failed kidney  transplant, and there is increasing evidence of higher mortality among this population. Whether removal of the failed renal allograft affects survival while receiving long-term dialysis is not well understood. We identified all adults who received a kidney transplant and returned to long-term dialysis after renal allograft failure between January 1994 and December 2004 from the US Renal Data System. Among 10,951 transplant recipients who returned to long-term dialysis, 3451 (31.5%) received an allograft nephrectomy during follow-up. Overall, 34.6% of these patients died during follow-up. Receiving an allograft nephrectomy associated with a 32% lower adjusted relative risk for all-cause death (adjusted hazard ratio 0.68; 95% confidence interval 0.63 to 0.74) after adjustment for sociodemographic characteristics, comorbidity burden, donor characteristics, interim clinical conditions associated with receiving allograft nephrectomy, and propensity to receive an allograft nephrectomy. In conclusion, within a large, nationally representative sample of high-risk patients returning to long-term dialysis after failed kidney transplant, receipt of allograft nephrectomy independently associated with improved survival.","author":[{"dropping-particle":"","family":"Ayus","given":"Juan Carlos","non-dropping-particle":"","parse-names":false,"suffix":""},{"dropping-particle":"","family":"Achinger","given":"Steven G","non-dropping-particle":"","parse-names":false,"suffix":""},{"dropping-particle":"","family":"Lee","given":"Shuko","non-dropping-particle":"","parse-names":false,"suffix":""},{"dropping-particle":"","family":"Sayegh","given":"Mohamed H","non-dropping-particle":"","parse-names":false,"suffix":""},{"dropping-particle":"","family":"Go","given":"Alan S","non-dropping-particle":"","parse-names":false,"suffix":""}],"container-title":"Journal of the American Society of Nephrology : JASN","id":"ITEM-1","issue":"2","issued":{"date-parts":[["2010","2"]]},"language":"eng","page":"374-380","title":"Transplant nephrectomy improves survival following a failed renal allograft.","type":"article-journal","volume":"21"},"uris":["http://www.mendeley.com/documents/?uuid=c730ef22-8d42-4d8a-8232-acfaad75a47c"]}],"mendeley":{"formattedCitation":"&lt;sup&gt;7&lt;/sup&gt;","plainTextFormattedCitation":"7","previouslyFormattedCitation":"&lt;sup&gt;7&lt;/sup&gt;"},"properties":{"noteIndex":0},"schema":"https://github.com/citation-style-language/schema/raw/master/csl-citation.json"}</w:instrText>
      </w:r>
      <w:r w:rsidRPr="002776F5">
        <w:fldChar w:fldCharType="separate"/>
      </w:r>
      <w:r w:rsidRPr="002776F5">
        <w:rPr>
          <w:noProof/>
          <w:vertAlign w:val="superscript"/>
        </w:rPr>
        <w:t>7</w:t>
      </w:r>
      <w:r w:rsidRPr="002776F5">
        <w:fldChar w:fldCharType="end"/>
      </w:r>
      <w:r w:rsidRPr="002776F5">
        <w:t xml:space="preserve">, attributed to a reduction </w:t>
      </w:r>
      <w:r w:rsidRPr="002776F5">
        <w:lastRenderedPageBreak/>
        <w:t>in the risk of chronic inflammation. However, the study could not clearly identify the clinical decisions leading to nephrectomy and so is at risk of substantial bias</w:t>
      </w:r>
      <w:r w:rsidRPr="002776F5">
        <w:fldChar w:fldCharType="begin" w:fldLock="1"/>
      </w:r>
      <w:r w:rsidRPr="002776F5">
        <w:instrText>ADDIN CSL_CITATION {"citationItems":[{"id":"ITEM-1","itemData":{"DOI":"10.1681/ASN.2009121262","ISSN":"1046-6673","author":[{"dropping-particle":"","family":"Schaefer","given":"Heidi M","non-dropping-particle":"","parse-names":false,"suffix":""},{"dropping-particle":"","family":"Helderman","given":"J Harold","non-dropping-particle":"","parse-names":false,"suffix":""}],"container-title":"Journal of the American Society of Nephrology","id":"ITEM-1","issue":"2","issued":{"date-parts":[["2010"]]},"page":"207-208","publisher":"American Society of Nephrology","title":"Allograft Nephrectomy after Transplant Failure: Should It Be Performed in All Patients Returning to Dialysis?","type":"article-journal","volume":"21"},"uris":["http://www.mendeley.com/documents/?uuid=f8683316-fd8b-40ec-8dce-a765aea267e0"]}],"mendeley":{"formattedCitation":"&lt;sup&gt;8&lt;/sup&gt;","plainTextFormattedCitation":"8","previouslyFormattedCitation":"&lt;sup&gt;8&lt;/sup&gt;"},"properties":{"noteIndex":0},"schema":"https://github.com/citation-style-language/schema/raw/master/csl-citation.json"}</w:instrText>
      </w:r>
      <w:r w:rsidRPr="002776F5">
        <w:fldChar w:fldCharType="separate"/>
      </w:r>
      <w:r w:rsidRPr="002776F5">
        <w:rPr>
          <w:noProof/>
          <w:vertAlign w:val="superscript"/>
        </w:rPr>
        <w:t>8</w:t>
      </w:r>
      <w:r w:rsidRPr="002776F5">
        <w:fldChar w:fldCharType="end"/>
      </w:r>
      <w:r w:rsidRPr="002776F5">
        <w:t xml:space="preserve">. </w:t>
      </w:r>
    </w:p>
    <w:p w14:paraId="40A47989" w14:textId="77777777" w:rsidR="00784331" w:rsidRPr="002776F5" w:rsidRDefault="00784331" w:rsidP="00784331">
      <w:pPr>
        <w:spacing w:line="276" w:lineRule="auto"/>
        <w:jc w:val="both"/>
      </w:pPr>
      <w:r w:rsidRPr="002776F5">
        <w:t>The relationship between graft nephrectomy and HLA sensitisation is also controversial with several cohort studies demonstrating conflicting results. A recent review summarised 13 studies investigating the impact of graft nephrectomy on panel reactive antibody levels (PRA)</w:t>
      </w:r>
      <w:r w:rsidRPr="002776F5">
        <w:fldChar w:fldCharType="begin" w:fldLock="1"/>
      </w:r>
      <w:r w:rsidRPr="002776F5">
        <w:instrText>ADDIN CSL_CITATION {"citationItems":[{"id":"ITEM-1","itemData":{"DOI":"https://doi.org/10.1016/j.trre.2018.08.001","ISSN":"0955-470X","abstract":"In this review, we describe the indications, surgical aspects, benefits and risks of nephrectomy after graft failure. There is a great variation in the number of allograft nephrectomies performed among different centers. Nephrectomy of a failed allograft is associated with significant morbidity and mortality with a complication rate of 20–30% and mortality rates between 0% and 11%. A systematic review through Medline (Pubmed) and Embase identified thirteen retrospective studies that compared patients with and patients without allograft nephrectomy prior to retransplantation. Allograft nephrectomy associates with an increased risk of HLA antibody development. With two recent studies that used the more sensitive HLA antibody detection methods disproving the hypothesis of intragraft adsorption of HLA antibodies, the mechanism leading to the increased HLA antibody levels is not clear, but the role of immunosuppression withdrawal is becoming clear and needs further investigation. In nine of the thirteen studies that evaluated the impact of allograft nephrectomy on outcome in retransplantation, retransplant graft survival was not significantly different among patients with and patients without allograft nephrectomy. Only three studies showed significantly worse retransplant graft survival if prior allograft nephrectomy was performed. Most studies did not observe a significant difference in patient survival after retransplantation with versus without prior allograft nephrectomy. All studies were affected by the retrospective design, indication bias, and selection bias. On the basis of the available literature on this topic, we did not identify a clear advantage or disadvantage of allograft nephrectomy, in terms of outcome after repeat transplantation. Nevertheless, the significantly increased risk of HLA antibody sensitization, especially in patients at high immunological risk like high donor-recipientHLA epitope mismatch load and HLA-DQB1 mismatches, argues against routine allograft nephrectomy and immunosuppression withdrawal in asymptomatic patients who are eligible for repeat transplantation.","author":[{"dropping-particle":"","family":"Ghyselen","given":"Lisa","non-dropping-particle":"","parse-names":false,"suffix":""},{"dropping-particle":"","family":"Naesens","given":"Maarten","non-dropping-particle":"","parse-names":false,"suffix":""}],"container-title":"Transplantation Reviews","id":"ITEM-1","issue":"1","issued":{"date-parts":[["2019"]]},"page":"48-54","title":"Indications, risks and impact of failed allograft nephrectomy","type":"article-journal","volume":"33"},"uris":["http://www.mendeley.com/documents/?uuid=6db8ceaa-0d74-45f2-8af1-fbc031d71f12"]}],"mendeley":{"formattedCitation":"&lt;sup&gt;1&lt;/sup&gt;","plainTextFormattedCitation":"1","previouslyFormattedCitation":"&lt;sup&gt;1&lt;/sup&gt;"},"properties":{"noteIndex":0},"schema":"https://github.com/citation-style-language/schema/raw/master/csl-citation.json"}</w:instrText>
      </w:r>
      <w:r w:rsidRPr="002776F5">
        <w:fldChar w:fldCharType="separate"/>
      </w:r>
      <w:r w:rsidRPr="002776F5">
        <w:rPr>
          <w:noProof/>
          <w:vertAlign w:val="superscript"/>
        </w:rPr>
        <w:t>1</w:t>
      </w:r>
      <w:r w:rsidRPr="002776F5">
        <w:fldChar w:fldCharType="end"/>
      </w:r>
      <w:r w:rsidRPr="002776F5">
        <w:t xml:space="preserve">. Seven of the 13 studies demonstrated significantly higher levels of PRA in patients who had undergone nephrectomy compared to those who did not. However, other small studies suggest that this is related to the underlying indications for nephrectomy and management of immunosuppression, rather than nephrectomy </w:t>
      </w:r>
      <w:r w:rsidRPr="002776F5">
        <w:rPr>
          <w:i/>
          <w:iCs/>
        </w:rPr>
        <w:t>per se</w:t>
      </w:r>
      <w:r w:rsidRPr="002776F5">
        <w:t>. This includes one UK-based single centre cohort study of relisted transplant patients and showed a 3-fold increased risk of developing HLA-specific antibodies, but after controlling for immunosuppression cessation, this effect disappeared</w:t>
      </w:r>
      <w:r w:rsidRPr="002776F5">
        <w:fldChar w:fldCharType="begin" w:fldLock="1"/>
      </w:r>
      <w:r w:rsidRPr="002776F5">
        <w:instrText>ADDIN CSL_CITATION {"citationItems":[{"id":"ITEM-1","itemData":{"author":[{"dropping-particle":"","family":"Kosmoliaptsis","given":"Vasilios","non-dropping-particle":"","parse-names":false,"suffix":""},{"dropping-particle":"","family":"Gjorgjimajkoska","given":"Olivera","non-dropping-particle":"","parse-names":false,"suffix":""},{"dropping-particle":"","family":"Sharples","given":"Linda D","non-dropping-particle":"","parse-names":false,"suffix":""},{"dropping-particle":"","family":"Chaudhry","given":"Afzal N","non-dropping-particle":"","parse-names":false,"suffix":""},{"dropping-particle":"","family":"Chatzizacharias","given":"Nikolaos","non-dropping-particle":"","parse-names":false,"suffix":""},{"dropping-particle":"","family":"Peacock","given":"Sarah","non-dropping-particle":"","parse-names":false,"suffix":""},{"dropping-particle":"","family":"Torpey","given":"Nicholas","non-dropping-particle":"","parse-names":false,"suffix":""},{"dropping-particle":"","family":"Bolton","given":"Eleanor M","non-dropping-particle":"","parse-names":false,"suffix":""},{"dropping-particle":"","family":"Taylor","given":"Craig J","non-dropping-particle":"","parse-names":false,"suffix":""},{"dropping-particle":"","family":"Andrew Bradley","given":"J","non-dropping-particle":"","parse-names":false,"suffix":""}],"container-title":"Kidney International","id":"ITEM-1","issue":"5","issued":{"date-parts":[["2014","11"]]},"page":"1039-1048","title":"Impact of donor mismatches at individual HLA-A, -B, -C, -DR, and -DQ loci on the development of HLA-specific antibodies in patients listed for repeat renal transplantation","type":"article-journal","volume":"86"},"uris":["http://www.mendeley.com/documents/?uuid=8067f78d-3e1a-3c52-b0b2-c0d621e08c75"]}],"mendeley":{"formattedCitation":"&lt;sup&gt;9&lt;/sup&gt;","plainTextFormattedCitation":"9","previouslyFormattedCitation":"&lt;sup&gt;9&lt;/sup&gt;"},"properties":{"noteIndex":0},"schema":"https://github.com/citation-style-language/schema/raw/master/csl-citation.json"}</w:instrText>
      </w:r>
      <w:r w:rsidRPr="002776F5">
        <w:fldChar w:fldCharType="separate"/>
      </w:r>
      <w:r w:rsidRPr="002776F5">
        <w:rPr>
          <w:noProof/>
          <w:vertAlign w:val="superscript"/>
        </w:rPr>
        <w:t>9</w:t>
      </w:r>
      <w:r w:rsidRPr="002776F5">
        <w:fldChar w:fldCharType="end"/>
      </w:r>
      <w:r w:rsidRPr="002776F5">
        <w:t>.</w:t>
      </w:r>
    </w:p>
    <w:p w14:paraId="00D741EF" w14:textId="7EF87217" w:rsidR="00784331" w:rsidRPr="006D70DB" w:rsidRDefault="00784331" w:rsidP="00784331">
      <w:pPr>
        <w:pStyle w:val="Heading4"/>
        <w:spacing w:before="0" w:after="160" w:line="276" w:lineRule="auto"/>
      </w:pPr>
      <w:bookmarkStart w:id="36" w:name="_Toc128329944"/>
      <w:r>
        <w:t xml:space="preserve">3.2.2 </w:t>
      </w:r>
      <w:r w:rsidR="00D77243">
        <w:tab/>
      </w:r>
      <w:r w:rsidRPr="006D70DB">
        <w:t>Technique and prognosis</w:t>
      </w:r>
      <w:bookmarkEnd w:id="36"/>
    </w:p>
    <w:p w14:paraId="5D0921AC" w14:textId="4AC51203" w:rsidR="00784331" w:rsidRPr="002776F5" w:rsidRDefault="00784331" w:rsidP="00784331">
      <w:pPr>
        <w:spacing w:line="276" w:lineRule="auto"/>
        <w:jc w:val="both"/>
      </w:pPr>
      <w:r w:rsidRPr="002776F5">
        <w:t>Most adult transplants in the UK are placed extraperitoneally</w:t>
      </w:r>
      <w:r w:rsidRPr="002776F5">
        <w:fldChar w:fldCharType="begin" w:fldLock="1"/>
      </w:r>
      <w:r w:rsidRPr="002776F5">
        <w:instrText>ADDIN CSL_CITATION {"citationItems":[{"id":"ITEM-1","itemData":{"ISBN":"9780323547963","author":[{"dropping-particle":"","family":"Knechtle","given":"Stuart J","non-dropping-particle":"","parse-names":false,"suffix":""}],"edition":"8th.","id":"ITEM-1","issued":{"date-parts":[["2019"]]},"title":"Kidney Transplantation - Principles and Practice E-Book / Stuart J. Knechtle, Lorna P. Marson, Peter J Morris.","type":"book"},"uris":["http://www.mendeley.com/documents/?uuid=272555b3-c282-408f-add9-6ff2493e91af"]}],"mendeley":{"formattedCitation":"&lt;sup&gt;10&lt;/sup&gt;","plainTextFormattedCitation":"10","previouslyFormattedCitation":"&lt;sup&gt;10&lt;/sup&gt;"},"properties":{"noteIndex":0},"schema":"https://github.com/citation-style-language/schema/raw/master/csl-citation.json"}</w:instrText>
      </w:r>
      <w:r w:rsidRPr="002776F5">
        <w:fldChar w:fldCharType="separate"/>
      </w:r>
      <w:r w:rsidRPr="002776F5">
        <w:rPr>
          <w:noProof/>
          <w:vertAlign w:val="superscript"/>
        </w:rPr>
        <w:t>10</w:t>
      </w:r>
      <w:r w:rsidRPr="002776F5">
        <w:fldChar w:fldCharType="end"/>
      </w:r>
      <w:r w:rsidRPr="002776F5">
        <w:t xml:space="preserve">. During the early peri-transplant period, up to 6 weeks following </w:t>
      </w:r>
      <w:r w:rsidR="0060290A">
        <w:t xml:space="preserve">the </w:t>
      </w:r>
      <w:r w:rsidRPr="002776F5">
        <w:t xml:space="preserve">transplant, it is usually possible to mobilise the kidney and vessels from the peritoneum and remove most donor tissue including vessels and the ureter. Typically, a small patch of </w:t>
      </w:r>
      <w:r w:rsidR="0060290A">
        <w:t>the donor's</w:t>
      </w:r>
      <w:r w:rsidRPr="002776F5">
        <w:t xml:space="preserve"> vessels is retained in the recipient to avoid the need for patch repair of the </w:t>
      </w:r>
      <w:r w:rsidR="0060290A">
        <w:t>recipient's</w:t>
      </w:r>
      <w:r w:rsidRPr="002776F5">
        <w:t xml:space="preserve"> vessel, although native vessels (for example a saphenous or inferior epigastric patch) may be used to ensure complete removal of donor tissue.</w:t>
      </w:r>
    </w:p>
    <w:p w14:paraId="425DB800" w14:textId="258A93A5" w:rsidR="00784331" w:rsidRPr="002776F5" w:rsidRDefault="00784331" w:rsidP="00784331">
      <w:pPr>
        <w:spacing w:line="276" w:lineRule="auto"/>
        <w:jc w:val="both"/>
      </w:pPr>
      <w:r w:rsidRPr="002776F5">
        <w:t>After the immediate perioperative period</w:t>
      </w:r>
      <w:r w:rsidR="0060290A">
        <w:t>,</w:t>
      </w:r>
      <w:r w:rsidRPr="002776F5">
        <w:t xml:space="preserve"> the capsule and peritoneum become fused, and there are two described techniques to perform the nephrectomy – intra- and extra-capsular. Due to the adherence of the kidney capsule to recipient tissues, the most technically straightforward technique is intracapsular - separating the kidney parenchyma from the capsule, and dividing the vessels and ureter in the hilum of the kidney</w:t>
      </w:r>
      <w:r w:rsidRPr="002776F5">
        <w:fldChar w:fldCharType="begin" w:fldLock="1"/>
      </w:r>
      <w:r w:rsidRPr="002776F5">
        <w:instrText>ADDIN CSL_CITATION {"citationItems":[{"id":"ITEM-1","itemData":{"ISSN":"0039-6087 (Print)","PMID":"349745","author":[{"dropping-particle":"","family":"Sutherland","given":"D E","non-dropping-particle":"","parse-names":false,"suffix":""},{"dropping-particle":"","family":"Simmons","given":"R L","non-dropping-particle":"","parse-names":false,"suffix":""},{"dropping-particle":"","family":"Howard","given":"R J","non-dropping-particle":"","parse-names":false,"suffix":""},{"dropping-particle":"","family":"Najarian","given":"J S","non-dropping-particle":"","parse-names":false,"suffix":""}],"container-title":"Surgery, gynecology &amp; obstetrics","id":"ITEM-1","issue":"6","issued":{"date-parts":[["1978","6"]]},"language":"eng","page":"950-952","publisher-place":"United States","title":"Intracapsular technique of transplant nephrectomy.","type":"article-journal","volume":"146"},"uris":["http://www.mendeley.com/documents/?uuid=cb389034-f166-4e84-ab1a-8ebcc82ec54f"]}],"mendeley":{"formattedCitation":"&lt;sup&gt;11&lt;/sup&gt;","plainTextFormattedCitation":"11","previouslyFormattedCitation":"&lt;sup&gt;11&lt;/sup&gt;"},"properties":{"noteIndex":0},"schema":"https://github.com/citation-style-language/schema/raw/master/csl-citation.json"}</w:instrText>
      </w:r>
      <w:r w:rsidRPr="002776F5">
        <w:fldChar w:fldCharType="separate"/>
      </w:r>
      <w:r w:rsidRPr="002776F5">
        <w:rPr>
          <w:noProof/>
          <w:vertAlign w:val="superscript"/>
        </w:rPr>
        <w:t>11</w:t>
      </w:r>
      <w:r w:rsidRPr="002776F5">
        <w:fldChar w:fldCharType="end"/>
      </w:r>
      <w:r w:rsidRPr="002776F5">
        <w:t xml:space="preserve">. The disadvantage of this technique is that significant quantities of donor tissue may remain, and it does not provide an oncologically clear margin in the case of donor kidney neoplasia. </w:t>
      </w:r>
      <w:r w:rsidR="0060290A">
        <w:t>An</w:t>
      </w:r>
      <w:r w:rsidRPr="002776F5">
        <w:t xml:space="preserve"> alternative is an extracapsular approach in which the entire kidney is removed, leaving only donor blood vessels as patches on </w:t>
      </w:r>
      <w:r w:rsidR="0060290A">
        <w:t>the recipient's</w:t>
      </w:r>
      <w:r w:rsidRPr="002776F5">
        <w:t xml:space="preserve"> vessels. </w:t>
      </w:r>
    </w:p>
    <w:p w14:paraId="2068A840" w14:textId="504EE041" w:rsidR="00784331" w:rsidRPr="002776F5" w:rsidRDefault="00784331" w:rsidP="00784331">
      <w:pPr>
        <w:spacing w:line="276" w:lineRule="auto"/>
        <w:jc w:val="both"/>
      </w:pPr>
      <w:r w:rsidRPr="002776F5">
        <w:t xml:space="preserve">Two small case series describe results comparing the two techniques. Touma </w:t>
      </w:r>
      <w:r w:rsidRPr="002776F5">
        <w:rPr>
          <w:i/>
          <w:iCs/>
        </w:rPr>
        <w:t>et al</w:t>
      </w:r>
      <w:r w:rsidRPr="002776F5">
        <w:t xml:space="preserve"> excluded patients with early graft loss and described that an intracapsular approach results in shorter operative times and reduced blood loss, with no additional risk of sensitisation</w:t>
      </w:r>
      <w:r w:rsidR="0060290A">
        <w:t>,</w:t>
      </w:r>
      <w:r w:rsidRPr="002776F5">
        <w:t xml:space="preserve"> compared to an extra-capsular technique</w:t>
      </w:r>
      <w:r w:rsidRPr="002776F5">
        <w:fldChar w:fldCharType="begin" w:fldLock="1"/>
      </w:r>
      <w:r w:rsidRPr="002776F5">
        <w:instrText>ADDIN CSL_CITATION {"citationItems":[{"id":"ITEM-1","itemData":{"DOI":"10.5489/cuaj.10016","ISSN":"1920-1214 (Electronic)","PMID":"21470516","abstract":"INTRODUCTION: Our objective was to compare the impact of extra-capsular (ECAN)  versus intracapsular allograft nephrectomy (ICAN) on allosensitization and surgical outcomes. METHODS: Between 1990 and 2004, 96 allograft nephrectomies were performed at our institution. Of these, 29 procedures were performed within 1 month of the transplant and were therefore omitted from analysis. Overall, the results of 44 ECAN and 23 ICAN were reviewed. RESULTS: The mean operative times were 110.9 versus 130.4 min for ICAN versus ECAN (p = 0.02) and the estimated blood loss was 226 mL for ICAN versus 483 mL for ECAN (p = 0.004). Intraoperative and postoperative complications were low using either technique and differences were not statistically significant. Overall, the preoperative to postoperative change in the percentage of panel reactive antibody was +2.1% for ICAN versus +1.2% for ECAN (NS) at 3 to 12 months postoperatively, respectively (NS). The percentage of patients relisted was 33.3% versus 54.3% (NS), and the percentage of patients re-transplanted once relisted was also very similar: 63.2% for ECAN versus 66.7% for ICAN (NS), after a mean follow-up of 4.5 and 8.4 years, respectively. CONCLUSIONS: ICAN can be performed with shorter operative times and less blood loss versus the extracapsular approach. As well, this operative approach does not appear to affect allosensitization and the ability to re-transplant patients.","author":[{"dropping-particle":"","family":"Touma","given":"Naji J","non-dropping-particle":"","parse-names":false,"suffix":""},{"dropping-particle":"","family":"Sener","given":"Alp","non-dropping-particle":"","parse-names":false,"suffix":""},{"dropping-particle":"","family":"Caumartin","given":"Yves","non-dropping-particle":"","parse-names":false,"suffix":""},{"dropping-particle":"","family":"Warren","given":"Jeff","non-dropping-particle":"","parse-names":false,"suffix":""},{"dropping-particle":"","family":"Nguan","given":"Christopher Y","non-dropping-particle":"","parse-names":false,"suffix":""},{"dropping-particle":"","family":"Luke","given":"Patrick P W","non-dropping-particle":"","parse-names":false,"suffix":""}],"container-title":"Canadian Urological Association journal = Journal de l'Association des urologues  du Canada","id":"ITEM-1","issue":"1","issued":{"date-parts":[["2011","2"]]},"language":"eng","page":"49-52","title":"Extracapsular versus intracapsular allograft nephrectomy: impact on  allosensitization and surgical outcomes.","type":"article-journal","volume":"5"},"uris":["http://www.mendeley.com/documents/?uuid=adb47c48-4b83-475f-b020-daa6c8a15550"]}],"mendeley":{"formattedCitation":"&lt;sup&gt;12&lt;/sup&gt;","plainTextFormattedCitation":"12","previouslyFormattedCitation":"&lt;sup&gt;12&lt;/sup&gt;"},"properties":{"noteIndex":0},"schema":"https://github.com/citation-style-language/schema/raw/master/csl-citation.json"}</w:instrText>
      </w:r>
      <w:r w:rsidRPr="002776F5">
        <w:fldChar w:fldCharType="separate"/>
      </w:r>
      <w:r w:rsidRPr="002776F5">
        <w:rPr>
          <w:noProof/>
          <w:vertAlign w:val="superscript"/>
        </w:rPr>
        <w:t>12</w:t>
      </w:r>
      <w:r w:rsidRPr="002776F5">
        <w:fldChar w:fldCharType="end"/>
      </w:r>
      <w:r w:rsidRPr="002776F5">
        <w:t xml:space="preserve">. Vavallo </w:t>
      </w:r>
      <w:r w:rsidRPr="002776F5">
        <w:rPr>
          <w:i/>
          <w:iCs/>
        </w:rPr>
        <w:t>et al</w:t>
      </w:r>
      <w:r w:rsidRPr="002776F5">
        <w:t xml:space="preserve"> included patients with early graft loss and described no difference in peri-operative complications, although the extra-capsular approach was associated with prolonged hospital stay compared to the intracapsular approach. This may reflect the acute nature of early nephrectomy.</w:t>
      </w:r>
    </w:p>
    <w:p w14:paraId="6A0B6754" w14:textId="77777777" w:rsidR="00784331" w:rsidRPr="002776F5" w:rsidRDefault="00784331" w:rsidP="00784331">
      <w:pPr>
        <w:spacing w:line="276" w:lineRule="auto"/>
        <w:jc w:val="both"/>
      </w:pPr>
      <w:r w:rsidRPr="002776F5">
        <w:t xml:space="preserve">Reported morbidity and mortality associated with nephrectomy varies widely across case series, era and with indication. A recent review describes mortality rates from small cohort studies ranging between 0-11%, with post-operative infection, bleeding, bowel ischaemia and intravascular coagulopathy cited as causes of death. Complication rates vary between 5 and 48% in the reported series, with post-operative bleeding and haematoma formation being the most common </w:t>
      </w:r>
      <w:r w:rsidRPr="002776F5">
        <w:fldChar w:fldCharType="begin" w:fldLock="1"/>
      </w:r>
      <w:r w:rsidRPr="002776F5">
        <w:instrText>ADDIN CSL_CITATION {"citationItems":[{"id":"ITEM-1","itemData":{"DOI":"https://doi.org/10.1016/j.trre.2018.08.001","ISSN":"0955-470X","abstract":"In this review, we describe the indications, surgical aspects, benefits and risks of nephrectomy after graft failure. There is a great variation in the number of allograft nephrectomies performed among different centers. Nephrectomy of a failed allograft is associated with significant morbidity and mortality with a complication rate of 20–30% and mortality rates between 0% and 11%. A systematic review through Medline (Pubmed) and Embase identified thirteen retrospective studies that compared patients with and patients without allograft nephrectomy prior to retransplantation. Allograft nephrectomy associates with an increased risk of HLA antibody development. With two recent studies that used the more sensitive HLA antibody detection methods disproving the hypothesis of intragraft adsorption of HLA antibodies, the mechanism leading to the increased HLA antibody levels is not clear, but the role of immunosuppression withdrawal is becoming clear and needs further investigation. In nine of the thirteen studies that evaluated the impact of allograft nephrectomy on outcome in retransplantation, retransplant graft survival was not significantly different among patients with and patients without allograft nephrectomy. Only three studies showed significantly worse retransplant graft survival if prior allograft nephrectomy was performed. Most studies did not observe a significant difference in patient survival after retransplantation with versus without prior allograft nephrectomy. All studies were affected by the retrospective design, indication bias, and selection bias. On the basis of the available literature on this topic, we did not identify a clear advantage or disadvantage of allograft nephrectomy, in terms of outcome after repeat transplantation. Nevertheless, the significantly increased risk of HLA antibody sensitization, especially in patients at high immunological risk like high donor-recipientHLA epitope mismatch load and HLA-DQB1 mismatches, argues against routine allograft nephrectomy and immunosuppression withdrawal in asymptomatic patients who are eligible for repeat transplantation.","author":[{"dropping-particle":"","family":"Ghyselen","given":"Lisa","non-dropping-particle":"","parse-names":false,"suffix":""},{"dropping-particle":"","family":"Naesens","given":"Maarten","non-dropping-particle":"","parse-names":false,"suffix":""}],"container-title":"Transplantation Reviews","id":"ITEM-1","issue":"1","issued":{"date-parts":[["2019"]]},"page":"48-54","title":"Indications, risks and impact of failed allograft nephrectomy","type":"article-journal","volume":"33"},"uris":["http://www.mendeley.com/documents/?uuid=6db8ceaa-0d74-45f2-8af1-fbc031d71f12"]}],"mendeley":{"formattedCitation":"&lt;sup&gt;1&lt;/sup&gt;","plainTextFormattedCitation":"1","previouslyFormattedCitation":"&lt;sup&gt;1&lt;/sup&gt;"},"properties":{"noteIndex":0},"schema":"https://github.com/citation-style-language/schema/raw/master/csl-citation.json"}</w:instrText>
      </w:r>
      <w:r w:rsidRPr="002776F5">
        <w:fldChar w:fldCharType="separate"/>
      </w:r>
      <w:r w:rsidRPr="002776F5">
        <w:rPr>
          <w:noProof/>
          <w:vertAlign w:val="superscript"/>
        </w:rPr>
        <w:t>1</w:t>
      </w:r>
      <w:r w:rsidRPr="002776F5">
        <w:fldChar w:fldCharType="end"/>
      </w:r>
      <w:r w:rsidRPr="002776F5">
        <w:t xml:space="preserve">. </w:t>
      </w:r>
    </w:p>
    <w:p w14:paraId="5287F7AD" w14:textId="77777777" w:rsidR="00784331" w:rsidRPr="002776F5" w:rsidRDefault="00784331" w:rsidP="00784331">
      <w:pPr>
        <w:spacing w:line="276" w:lineRule="auto"/>
        <w:jc w:val="both"/>
      </w:pPr>
      <w:r w:rsidRPr="002776F5">
        <w:t xml:space="preserve">Renal artery embolization has been reported as a potential alternative to nephrectomy in the symptomatic failed transplant. A recent review described the outcomes of 189 patients who underwent percutaneous embolization comparted to 2232 patients who underwent nephrectomy for </w:t>
      </w:r>
      <w:r w:rsidRPr="002776F5">
        <w:lastRenderedPageBreak/>
        <w:t>a range of indications, including graft intolerance syndrome, acute and chronic rejection. The reported mortality associated with embolization was 0.1% compared to 4% in the nephrectomy group, although 20% of patients needed post-embolisation nephrectomy</w:t>
      </w:r>
      <w:r w:rsidRPr="002776F5">
        <w:fldChar w:fldCharType="begin" w:fldLock="1"/>
      </w:r>
      <w:r w:rsidRPr="002776F5">
        <w:instrText>ADDIN CSL_CITATION {"citationItems":[{"id":"ITEM-1","itemData":{"DOI":"10.12659/AOT.907700","ISSN":"2329-0358 (Electronic)","PMID":"29581414","abstract":"There is no standardization on the timing of the best approach to treat a  non-functioning renal graft. We reviewed the literature and performed a proportional meta-analysis of case series of transplantectomy and embolization for a non-functioning renal graft. The groups were compared for mortality and morbidity outcomes. A total of 2421 patients were included in this review. Of these, 2232 patients underwent transplantectomy and 189 underwent percutaneous embolization. The mortality rate in the nephrectomy group was 4% [95% confidence interval [CI], 2-7%; I²=87%] as compared with 0.1% [95% CI, 0.1-0.5%; I²=0%] in the embolization group. The rates of common morbidities were 18% [95% CI, 13-26%, I²=79.7%] for nephrectomy compared with 1.2% [95% CI, 0.7-2.1%, I²=26.4%] for embolization. The incidence of post-embolization syndrome was 68%, and 20% of patients needed post-embolization nephrectomy. Percutaneous embolization was associated with lower mortality and morbidity rates but also with a high rate of post-embolization syndrome. However, in most cases this complication had easily manageable symptoms. Embolization is a new and attractive technique that can be considered in treating non-functioning renal grafts.","author":[{"dropping-particle":"","family":"Takase","given":"Henrique Mochida","non-dropping-particle":"","parse-names":false,"suffix":""},{"dropping-particle":"","family":"Contti","given":"Mariana Moraes","non-dropping-particle":"","parse-names":false,"suffix":""},{"dropping-particle":"","family":"Nga","given":"Hong Si","non-dropping-particle":"","parse-names":false,"suffix":""},{"dropping-particle":"","family":"Bravin","given":"Ariane Moyses","non-dropping-particle":"","parse-names":false,"suffix":""},{"dropping-particle":"","family":"Valiatti","given":"Mariana Farina","non-dropping-particle":"","parse-names":false,"suffix":""},{"dropping-particle":"","family":"El-Dib","given":"Regina Paolucci","non-dropping-particle":"","parse-names":false,"suffix":""},{"dropping-particle":"","family":"Modelli de Andrade","given":"Luis Gustavo","non-dropping-particle":"","parse-names":false,"suffix":""}],"container-title":"Annals of transplantation","id":"ITEM-1","issued":{"date-parts":[["2018","3"]]},"language":"eng","page":"207-217","title":"Nephrectomy Versus Embolization of Non-Functioning Renal Graft: A Systematic  Review with a Proportional Meta-Analysis.","type":"article-journal","volume":"23"},"uris":["http://www.mendeley.com/documents/?uuid=d0c486c4-708b-4b85-a5b5-5217b34bbffe"]}],"mendeley":{"formattedCitation":"&lt;sup&gt;13&lt;/sup&gt;","plainTextFormattedCitation":"13","previouslyFormattedCitation":"&lt;sup&gt;13&lt;/sup&gt;"},"properties":{"noteIndex":0},"schema":"https://github.com/citation-style-language/schema/raw/master/csl-citation.json"}</w:instrText>
      </w:r>
      <w:r w:rsidRPr="002776F5">
        <w:fldChar w:fldCharType="separate"/>
      </w:r>
      <w:r w:rsidRPr="002776F5">
        <w:rPr>
          <w:noProof/>
          <w:vertAlign w:val="superscript"/>
        </w:rPr>
        <w:t>13</w:t>
      </w:r>
      <w:r w:rsidRPr="002776F5">
        <w:fldChar w:fldCharType="end"/>
      </w:r>
      <w:r w:rsidRPr="002776F5">
        <w:t xml:space="preserve">. There was no information about the risk of development of anti-HLA antibodies and these studies were at risk of significant bias due to variation in recipient selection and nephrectomy indication. </w:t>
      </w:r>
    </w:p>
    <w:p w14:paraId="453592D8" w14:textId="77777777" w:rsidR="00784331" w:rsidRDefault="00784331" w:rsidP="00784331">
      <w:pPr>
        <w:pStyle w:val="Heading3"/>
        <w:spacing w:before="0" w:after="160" w:line="276" w:lineRule="auto"/>
      </w:pPr>
      <w:bookmarkStart w:id="37" w:name="_Toc128329945"/>
      <w:r>
        <w:t xml:space="preserve">3.3 Dialysis </w:t>
      </w:r>
      <w:r w:rsidRPr="003D5B74">
        <w:t>Access</w:t>
      </w:r>
      <w:bookmarkEnd w:id="37"/>
    </w:p>
    <w:p w14:paraId="334F50FF" w14:textId="76C23066" w:rsidR="00784331" w:rsidRPr="002776F5" w:rsidRDefault="00784331" w:rsidP="00784331">
      <w:pPr>
        <w:spacing w:line="276" w:lineRule="auto"/>
        <w:jc w:val="both"/>
      </w:pPr>
      <w:r w:rsidRPr="002776F5">
        <w:t xml:space="preserve">Return to dialysis following failed transplantation is likely to be more complex than at first presentation with renal disease. This is multifactorial, due to the history of abdominal surgery and </w:t>
      </w:r>
      <w:r w:rsidR="0060290A">
        <w:t xml:space="preserve">the </w:t>
      </w:r>
      <w:r w:rsidRPr="002776F5">
        <w:t>likelihood of previous vascular access, including fistula formation. Haemodialysis established via a native arterio-venous fistula is associated with improved longevity in the general dialysis population when compared to graft and central venous catheters</w:t>
      </w:r>
      <w:r w:rsidRPr="002776F5">
        <w:fldChar w:fldCharType="begin" w:fldLock="1"/>
      </w:r>
      <w:r w:rsidRPr="002776F5">
        <w:instrText>ADDIN CSL_CITATION {"citationItems":[{"id":"ITEM-1","itemData":{"DOI":"10.1038/s41598-019-47065-z","ISSN":"2045-2322","abstract":"Vascular access (VA) is the cornerstone for carrying out hemodialysis, yet it may bring in complications and leads to hemodialysis quality decline. This study aimed to explore the impact of vascular access types, including arteriovenous shunts and central venous catheter on all-cause mortality after adjustment of other risk factors. Total 738 ESRD patients aged over 40 year old receiving regular hemodialysis therapies were recruited between January 2001 and December 2010 from a single hemodialysis center in northern Taiwan. We ascertained the causes and date of death by linking our hospital database with Nationwide Mortality Registry Database. VA types and biochemistry parameters were extracted from the electronic hospital records. Patients were categorized into three groups, including (1)arteriovenous shunts (AVF)/arteriovenous shunts with Gortex®(AVG); (2)AVF/AVG combined central venous catheter; (3)catheter only. The time-dependent influence of vascular types i.e. initiation and follow-up period was also assessed. The mean follow-up time was 4.5 years. In patients using central venous catheter for initiation of hemodialysis, the adjusted hazard ratio (HR) for all-cause mortality was 1.55(95%CI: 1.09, 2.21), when compared with AVF/AVG. In the follow-up period, after adjustment for other risk factors, the multivariable analysis showed that the adjusted HRs were 3.23(95%CI: 1.85, 5.64) and 1.45(95%CI: 1.11, 1.91) for catheter only and AVF/AVG plus catheter, respectively. Our results showed that vascular accesses used for hemodialysis had different and time-dependent impact on patients’ long-term survival. Patients who started hemodialysis with central venous catheter had significantly higher all-cause mortality rate. Furthermore, in the follow-up period, patients both in the catheter only and AVF/AVG plus catheter groups also had the significant all-cause mortality rates. Our results support the early establishment of arteriovenous shunt for the chronic kidney disease patients.","author":[{"dropping-particle":"","family":"Yeh","given":"Li-Mei","non-dropping-particle":"","parse-names":false,"suffix":""},{"dropping-particle":"","family":"Chiu","given":"Sherry Yueh-Hsia","non-dropping-particle":"","parse-names":false,"suffix":""},{"dropping-particle":"","family":"Lai","given":"Ping-Chin","non-dropping-particle":"","parse-names":false,"suffix":""}],"container-title":"Scientific Reports","id":"ITEM-1","issue":"1","issued":{"date-parts":[["2019"]]},"page":"10708","title":"The Impact of Vascular Access Types on Hemodialysis Patient Long-term Survival","type":"article-journal","volume":"9"},"uris":["http://www.mendeley.com/documents/?uuid=2a7ebe79-8d4e-4e69-ae67-dcefea092b4c"]},{"id":"ITEM-2","itemData":{"author":[{"dropping-particle":"","family":"Almasri","given":"Jehad","non-dropping-particle":"","parse-names":false,"suffix":""},{"dropping-particle":"","family":"Alsawas","given":"Mouaz","non-dropping-particle":"","parse-names":false,"suffix":""},{"dropping-particle":"","family":"Mainou","given":"Maria","non-dropping-particle":"","parse-names":false,"suffix":""},{"dropping-particle":"","family":"Mustafa","given":"Reem A","non-dropping-particle":"","parse-names":false,"suffix":""},{"dropping-particle":"","family":"Wang","given":"Zhen","non-dropping-particle":"","parse-names":false,"suffix":""},{"dropping-particle":"","family":"Woo","given":"Karen","non-dropping-particle":"","parse-names":false,"suffix":""},{"dropping-particle":"","family":"Cull","given":"David L","non-dropping-particle":"","parse-names":false,"suffix":""},{"dropping-particle":"","family":"Murad","given":"M Hassan","non-dropping-particle":"","parse-names":false,"suffix":""}],"container-title":"Journal of vascular surgery","id":"ITEM-2","issue":"1","issued":{"date-parts":[["2016","7"]]},"page":"236-243","title":"Outcomes of vascular access for hemodialysis: A~systematic review and meta-analysis.","type":"article-journal","volume":"64"},"uris":["http://www.mendeley.com/documents/?uuid=872bb92a-ed31-3f1f-b300-593aca74d39d"]}],"mendeley":{"formattedCitation":"&lt;sup&gt;14,15&lt;/sup&gt;","plainTextFormattedCitation":"14,15","previouslyFormattedCitation":"&lt;sup&gt;14,15&lt;/sup&gt;"},"properties":{"noteIndex":0},"schema":"https://github.com/citation-style-language/schema/raw/master/csl-citation.json"}</w:instrText>
      </w:r>
      <w:r w:rsidRPr="002776F5">
        <w:fldChar w:fldCharType="separate"/>
      </w:r>
      <w:r w:rsidRPr="002776F5">
        <w:rPr>
          <w:noProof/>
          <w:vertAlign w:val="superscript"/>
        </w:rPr>
        <w:t>14,15</w:t>
      </w:r>
      <w:r w:rsidRPr="002776F5">
        <w:fldChar w:fldCharType="end"/>
      </w:r>
      <w:r w:rsidRPr="002776F5">
        <w:t xml:space="preserve">. However, a national report from the US </w:t>
      </w:r>
      <w:r w:rsidR="0060290A">
        <w:t>suggests</w:t>
      </w:r>
      <w:r w:rsidRPr="002776F5">
        <w:t xml:space="preserve"> that 65% of patients restarting haemodialysis after a failed kidney transplant do so via a central venous catheter</w:t>
      </w:r>
      <w:r w:rsidRPr="002776F5">
        <w:fldChar w:fldCharType="begin" w:fldLock="1"/>
      </w:r>
      <w:r w:rsidRPr="002776F5">
        <w:instrText>ADDIN CSL_CITATION {"citationItems":[{"id":"ITEM-1","itemData":{"DOI":"10.2215/CJN.12461213","ISSN":"1555-905X (Electronic)","PMID":"24903392","abstract":"BACKGROUND AND OBJECTIVES: Permanent hemodialysis vascular access is crucial for  RRT in ESRD patients and patients with failed renal transplants, because central venous catheters are associated with greater risk of infection and mortality than arteriovenous fistulae or arteriovenous grafts. The objective of this study was to determine the types of vascular access used by patients initiating hemodialysis after a failed renal transplant. DESIGN, SETTING, PARTICIPANTS, &amp; MEASUREMENTS: Data from the US Renal Data System database on 16,728 patients with a failed renal transplant and 509,643 patients with native kidney failure who initiated dialysis between January 1, 2006, and September 30, 2011 were examined. RESULTS: At initiation of dialysis, of patients with a failed transplant, 27.7% (n=4636) used an arteriovenous fistula, 6.9% (n=1146) used an arteriovenous graft, and 65.4% (n=10,946) used a central venous catheter. Conversely, 80.8% (n=411,997) of patients with native kidney failure initiated dialysis with a central venous catheter (P&lt;0.001). Among patients with a failed transplant, predictors of central venous catheter use included women (adjusted odds ratio, 1.75; 95% confidence interval, 1.63 to 1.87), lack of referral to a nephrologist (odds ratio, 2.00; 95% confidence interval, 1.72 to 2.33), diabetes (odds ratio, 1.14; 95% confidence interval, 1.06 to 1.22), peripheral vascular disease (odds ratio, 1.31; 95% confidence interval, 1.16 to 1.48), and being institutionalized (odds ratio, 1.53; 95% confidence interval, 1.23 to 1.89). Factors associated with lower odds of central venous catheter use included older age (odds ratio, 0.85 per 10 years; 95% confidence interval, 0.83 to 0.87), public insurance (odds ratio, 0.74; 95% confidence interval, 0.68 to 0.80), and current employment (odds ratio, 0.87; 95% confidence interval, 0.80 to 0.95). CONCLUSIONS: Central venous catheters are used in nearly two thirds of failed renal transplant patients. These patients are usually followed closely by transplant physicians before developing ESRD after a failed transplant, but the relatively low prevalence of arteriovenous fistulae/arteriovenous grafts in this group at initiation of dialysis needs to be investigated more thoroughly.","author":[{"dropping-particle":"","family":"Chan","given":"Micah R","non-dropping-particle":"","parse-names":false,"suffix":""},{"dropping-particle":"","family":"Oza-Gajera","given":"Bharvi","non-dropping-particle":"","parse-names":false,"suffix":""},{"dropping-particle":"","family":"Chapla","given":"Kevin","non-dropping-particle":"","parse-names":false,"suffix":""},{"dropping-particle":"","family":"Djamali","given":"Arjang X","non-dropping-particle":"","parse-names":false,"suffix":""},{"dropping-particle":"","family":"Muth","given":"Brenda L","non-dropping-particle":"","parse-names":false,"suffix":""},{"dropping-particle":"","family":"Turk","given":"Jennifer","non-dropping-particle":"","parse-names":false,"suffix":""},{"dropping-particle":"","family":"Wakeen","given":"Maureen","non-dropping-particle":"","parse-names":false,"suffix":""},{"dropping-particle":"","family":"Yevzlin","given":"Alexander S","non-dropping-particle":"","parse-names":false,"suffix":""},{"dropping-particle":"","family":"Astor","given":"Brad C","non-dropping-particle":"","parse-names":false,"suffix":""}],"container-title":"Clinical journal of the American Society of Nephrology : CJASN","id":"ITEM-1","issue":"7","issued":{"date-parts":[["2014","7"]]},"language":"eng","page":"1225-1231","title":"Initial vascular access type in patients with a failed renal transplant.","type":"article-journal","volume":"9"},"uris":["http://www.mendeley.com/documents/?uuid=29bf09ef-995b-4e8d-8bec-aced46256ee9"]}],"mendeley":{"formattedCitation":"&lt;sup&gt;16&lt;/sup&gt;","plainTextFormattedCitation":"16","previouslyFormattedCitation":"&lt;sup&gt;16&lt;/sup&gt;"},"properties":{"noteIndex":0},"schema":"https://github.com/citation-style-language/schema/raw/master/csl-citation.json"}</w:instrText>
      </w:r>
      <w:r w:rsidRPr="002776F5">
        <w:fldChar w:fldCharType="separate"/>
      </w:r>
      <w:r w:rsidRPr="002776F5">
        <w:rPr>
          <w:noProof/>
          <w:vertAlign w:val="superscript"/>
        </w:rPr>
        <w:t>16</w:t>
      </w:r>
      <w:r w:rsidRPr="002776F5">
        <w:fldChar w:fldCharType="end"/>
      </w:r>
      <w:r w:rsidRPr="002776F5">
        <w:t>, and data from two centres in the UK suggested that around 50% of patients restarted haemodialysis via a central venous catheter</w:t>
      </w:r>
      <w:r w:rsidRPr="002776F5">
        <w:fldChar w:fldCharType="begin" w:fldLock="1"/>
      </w:r>
      <w:r w:rsidRPr="002776F5">
        <w:instrText>ADDIN CSL_CITATION {"citationItems":[{"id":"ITEM-1","itemData":{"abstract":"Background \n\nLow clearance transplant clinics (LCTCs) are recommended for the management of recipients with a failing kidney transplant (RFKT) but data to support their use is limited. We conducted a retrospective study to assess management of RFKT at 2 transplant centers, 1 with a LCTC (center A) and 1 without (center B).\n\nMethods\n\nPatients who transitioned to an alternative form of renal replacement therapy (RRT) between January 1, 2012, and November 30, 2016, were included. Patients with graft failure within a year of transplantation or due to an unpredictable acute event were excluded. Clinical data were collected after review of medical records.\n\nResults\n\nOne hundred seventy-nine patients (age, 48.6 ± 13.4 years, 99 [55.3%] male, and mean transplant duration 10.3 ± 7.8 years) were included. RRT counseling occurred in 79 (91%) and 68 (74%) patients at centers A and B (P = 0.003), at median 135 (61-319) and 133 (69-260) days before dialysis after graft loss (P = 0.92). Sixty-one (34.1%) patients were waitlisted for retransplantation; 18 (32.7%) nonwaitlisted patients were still undergoing workup at center A compared with 37 (58.7%) at center B (P = 0.028). Preemptive retransplantation occurred in 4 (4.6%) and 5 (5.4%) patients at centers A and B (P = 0.35). At 1 year after initiation of dialysis after graft loss, 11 (15.3%) and 11 (17.2%) patients were retransplanted (P = 0.12), and mortality was 6.6% overall.\n\nConclusions\n\nA dedicated LCTC improved RRT counseling and transplant work-up but did not lead to improved rates of retransplantation. Earlier consideration of retransplantation in LCTCs is required to improve RFKT outcomes.","author":[{"dropping-particle":"","family":"Evans","given":"Rhys D R","non-dropping-particle":"","parse-names":false,"suffix":""},{"dropping-particle":"","family":"Bekele","given":"Soliana","non-dropping-particle":"","parse-names":false,"suffix":""},{"dropping-particle":"","family":"Campbell","given":"Samantha M","non-dropping-particle":"","parse-names":false,"suffix":""},{"dropping-particle":"","family":"Clark","given":"Sarah G","non-dropping-particle":"","parse-names":false,"suffix":""},{"dropping-particle":"","family":"Harris","given":"Lauren","non-dropping-particle":"","parse-names":false,"suffix":""},{"dropping-particle":"","family":"Thomas","given":"Alice","non-dropping-particle":"","parse-names":false,"suffix":""},{"dropping-particle":"","family":"Jones","given":"Gareth L","non-dropping-particle":"","parse-names":false,"suffix":""},{"dropping-particle":"","family":"Thuraisingham","given":"Raj","non-dropping-particle":"","parse-names":false,"suffix":""}],"container-title":"Transplantation Direct","id":"ITEM-1","issue":"6","issued":{"date-parts":[["2018"]]},"title":"Assessment of a Dedicated Transplant Low Clearance Clinic and Patient Outcomes on Dialysis After Renal Allograft Loss at 2 UK Transplant Centers","type":"article-journal","volume":"4"},"uris":["http://www.mendeley.com/documents/?uuid=834d2ca7-bfff-4495-b09d-6c2765a3768e"]}],"mendeley":{"formattedCitation":"&lt;sup&gt;17&lt;/sup&gt;","plainTextFormattedCitation":"17","previouslyFormattedCitation":"&lt;sup&gt;17&lt;/sup&gt;"},"properties":{"noteIndex":0},"schema":"https://github.com/citation-style-language/schema/raw/master/csl-citation.json"}</w:instrText>
      </w:r>
      <w:r w:rsidRPr="002776F5">
        <w:fldChar w:fldCharType="separate"/>
      </w:r>
      <w:r w:rsidRPr="002776F5">
        <w:rPr>
          <w:noProof/>
          <w:vertAlign w:val="superscript"/>
        </w:rPr>
        <w:t>17</w:t>
      </w:r>
      <w:r w:rsidRPr="002776F5">
        <w:fldChar w:fldCharType="end"/>
      </w:r>
      <w:r w:rsidRPr="002776F5">
        <w:t>.  We recommend an early referral to dialysis access services to maximise the chance of starting dialysis via a fistula.</w:t>
      </w:r>
    </w:p>
    <w:p w14:paraId="04E30907" w14:textId="77777777" w:rsidR="00784331" w:rsidRPr="002776F5" w:rsidRDefault="00784331" w:rsidP="00784331">
      <w:pPr>
        <w:spacing w:line="276" w:lineRule="auto"/>
        <w:jc w:val="both"/>
      </w:pPr>
      <w:r w:rsidRPr="002776F5">
        <w:t>The same series demonstrated that around 15% of patients restarted peritoneal dialysis, and a large Canadian cohort study with over 2000 patients did not identify any difference in mortality between patients treated with peritoneal dialysis or haemodialysis following graft loss</w:t>
      </w:r>
      <w:r w:rsidRPr="002776F5">
        <w:fldChar w:fldCharType="begin" w:fldLock="1"/>
      </w:r>
      <w:r w:rsidRPr="002776F5">
        <w:instrText>ADDIN CSL_CITATION {"citationItems":[{"id":"ITEM-1","itemData":{"DOI":"10.2215/CJN.06640810","ISSN":"1555-9041","abstract":"Background and objectives An increasing number of patients are returning to dialysis after allograft loss (DAGL). These patients are at a higher mortality risk compared with incident ESRD patients. Among transplant-na{\\\"\\i}ve patients, those treated with peritoneal dialysis (PD) enjoy an early survival advantage compared with those treated with hemodialysis (HD), but this advantage is not sustained over time. Whether a similar time-dependent survival advantage exists for PD-treated patients after allograft loss is unclear and may impact dialysis modality selection in these patients. Design, setting, participants, \\&amp;amp; measurements We identified 2110 adult patients who initiated dialysis after renal transplant failure between January 1991 and December 2005 from The Canadian Organ Replacement Register. Multivariable regression analysis was used to evaluate the impact of initial dialysis modality on early (2 years), late (after 2 years), and overall mortality using an intention-to-treat approach. Results After adjustment, there was no difference in overall survival between HD- and PD-treated patients (hazard ratio(HD:PD), 1.05; 95\\% confidence interval, 0.85 to 1.31), with similar results seen for both early and late survival. Superior survival was seen in more contemporary cohorts of patients returning to DAGL. Conclusions The use of PD compared with HD is associated with similar early and overall survival among patients initiating DAGL. Differences in both patient characteristics and predialysis management between patients returning to DAGL and transplant-naive incident dialysis patients may be responsible for the absence of an early survival advantage with the use of PD in DAGL patients.","author":[{"dropping-particle":"","family":"Perl","given":"Jeffrey","non-dropping-particle":"","parse-names":false,"suffix":""},{"dropping-particle":"","family":"Hasan","given":"Omar","non-dropping-particle":"","parse-names":false,"suffix":""},{"dropping-particle":"","family":"Bargman","given":"Joanne M","non-dropping-particle":"","parse-names":false,"suffix":""},{"dropping-particle":"","family":"Jiang","given":"Depeng","non-dropping-particle":"","parse-names":false,"suffix":""},{"dropping-particle":"","family":"Na","given":"Yingbo","non-dropping-particle":"","parse-names":false,"suffix":""},{"dropping-particle":"","family":"Gill","given":"John S","non-dropping-particle":"","parse-names":false,"suffix":""},{"dropping-particle":"","family":"Jassal","given":"S Vanita","non-dropping-particle":"","parse-names":false,"suffix":""}],"container-title":"Clinical Journal of the American Society of Nephrology","id":"ITEM-1","issue":"3","issued":{"date-parts":[["2011"]]},"page":"582-590","publisher":"American Society of Nephrology","title":"Impact of Dialysis Modality on Survival after Kidney Transplant Failure","type":"article-journal","volume":"6"},"uris":["http://www.mendeley.com/documents/?uuid=e8915e98-5778-43c2-98ed-1019d9f8f8da"]}],"mendeley":{"formattedCitation":"&lt;sup&gt;18&lt;/sup&gt;","plainTextFormattedCitation":"18","previouslyFormattedCitation":"&lt;sup&gt;18&lt;/sup&gt;"},"properties":{"noteIndex":0},"schema":"https://github.com/citation-style-language/schema/raw/master/csl-citation.json"}</w:instrText>
      </w:r>
      <w:r w:rsidRPr="002776F5">
        <w:fldChar w:fldCharType="separate"/>
      </w:r>
      <w:r w:rsidRPr="002776F5">
        <w:rPr>
          <w:noProof/>
          <w:vertAlign w:val="superscript"/>
        </w:rPr>
        <w:t>18</w:t>
      </w:r>
      <w:r w:rsidRPr="002776F5">
        <w:fldChar w:fldCharType="end"/>
      </w:r>
      <w:r w:rsidRPr="002776F5">
        <w:t>. Early surgical assessment is recommended to ensure peritoneal dialysis is available when required.</w:t>
      </w:r>
    </w:p>
    <w:p w14:paraId="14DE0279" w14:textId="7A5774AA" w:rsidR="00784331" w:rsidRDefault="00784331" w:rsidP="00784331">
      <w:pPr>
        <w:pStyle w:val="Heading2"/>
      </w:pPr>
      <w:bookmarkStart w:id="38" w:name="_Toc128329946"/>
      <w:r>
        <w:t>R</w:t>
      </w:r>
      <w:r w:rsidR="00E4067E">
        <w:t>eferences</w:t>
      </w:r>
      <w:bookmarkEnd w:id="38"/>
    </w:p>
    <w:p w14:paraId="2411A6E3" w14:textId="77777777" w:rsidR="00784331" w:rsidRPr="006D70DB" w:rsidRDefault="00784331" w:rsidP="00217066">
      <w:pPr>
        <w:widowControl w:val="0"/>
        <w:autoSpaceDE w:val="0"/>
        <w:autoSpaceDN w:val="0"/>
        <w:adjustRightInd w:val="0"/>
        <w:spacing w:after="0" w:line="276" w:lineRule="auto"/>
        <w:ind w:left="640" w:hanging="640"/>
        <w:jc w:val="both"/>
        <w:rPr>
          <w:rFonts w:ascii="Calibri" w:hAnsi="Calibri" w:cs="Calibri"/>
          <w:noProof/>
        </w:rPr>
      </w:pPr>
      <w:r>
        <w:fldChar w:fldCharType="begin" w:fldLock="1"/>
      </w:r>
      <w:r>
        <w:instrText xml:space="preserve">ADDIN Mendeley Bibliography CSL_BIBLIOGRAPHY </w:instrText>
      </w:r>
      <w:r>
        <w:fldChar w:fldCharType="separate"/>
      </w:r>
      <w:r w:rsidRPr="006D70DB">
        <w:rPr>
          <w:rFonts w:ascii="Calibri" w:hAnsi="Calibri" w:cs="Calibri"/>
          <w:noProof/>
        </w:rPr>
        <w:t xml:space="preserve">1. </w:t>
      </w:r>
      <w:r w:rsidRPr="006D70DB">
        <w:rPr>
          <w:rFonts w:ascii="Calibri" w:hAnsi="Calibri" w:cs="Calibri"/>
          <w:noProof/>
        </w:rPr>
        <w:tab/>
        <w:t xml:space="preserve">Ghyselen L, Naesens M. Indications, risks and impact of failed allograft nephrectomy. </w:t>
      </w:r>
      <w:r w:rsidRPr="006D70DB">
        <w:rPr>
          <w:rFonts w:ascii="Calibri" w:hAnsi="Calibri" w:cs="Calibri"/>
          <w:i/>
          <w:iCs/>
          <w:noProof/>
        </w:rPr>
        <w:t>Transplant Rev</w:t>
      </w:r>
      <w:r w:rsidRPr="006D70DB">
        <w:rPr>
          <w:rFonts w:ascii="Calibri" w:hAnsi="Calibri" w:cs="Calibri"/>
          <w:noProof/>
        </w:rPr>
        <w:t>. 2019;33(1):48-54. doi:https://doi.org/10.1016/j.trre.2018.08.001</w:t>
      </w:r>
    </w:p>
    <w:p w14:paraId="543C1E84" w14:textId="77777777" w:rsidR="00784331" w:rsidRPr="006D70DB" w:rsidRDefault="00784331" w:rsidP="00217066">
      <w:pPr>
        <w:widowControl w:val="0"/>
        <w:autoSpaceDE w:val="0"/>
        <w:autoSpaceDN w:val="0"/>
        <w:adjustRightInd w:val="0"/>
        <w:spacing w:after="0" w:line="276" w:lineRule="auto"/>
        <w:ind w:left="640" w:hanging="640"/>
        <w:jc w:val="both"/>
        <w:rPr>
          <w:rFonts w:ascii="Calibri" w:hAnsi="Calibri" w:cs="Calibri"/>
          <w:noProof/>
        </w:rPr>
      </w:pPr>
      <w:r w:rsidRPr="006D70DB">
        <w:rPr>
          <w:rFonts w:ascii="Calibri" w:hAnsi="Calibri" w:cs="Calibri"/>
          <w:noProof/>
        </w:rPr>
        <w:t xml:space="preserve">2. </w:t>
      </w:r>
      <w:r w:rsidRPr="006D70DB">
        <w:rPr>
          <w:rFonts w:ascii="Calibri" w:hAnsi="Calibri" w:cs="Calibri"/>
          <w:noProof/>
        </w:rPr>
        <w:tab/>
        <w:t xml:space="preserve">Hochleitner BW, Kafka R, Spechtenhauser B, et al. Renal allograft rupture is associated with rejection or acute tubular necrosis,  but not with renal vein thrombosis. </w:t>
      </w:r>
      <w:r w:rsidRPr="006D70DB">
        <w:rPr>
          <w:rFonts w:ascii="Calibri" w:hAnsi="Calibri" w:cs="Calibri"/>
          <w:i/>
          <w:iCs/>
          <w:noProof/>
        </w:rPr>
        <w:t>Nephrol Dial Transplant  Off Publ Eur  Dial Transpl Assoc - Eur Ren Assoc</w:t>
      </w:r>
      <w:r w:rsidRPr="006D70DB">
        <w:rPr>
          <w:rFonts w:ascii="Calibri" w:hAnsi="Calibri" w:cs="Calibri"/>
          <w:noProof/>
        </w:rPr>
        <w:t>. 2001;16(1):124-127. doi:10.1093/ndt/16.1.124</w:t>
      </w:r>
    </w:p>
    <w:p w14:paraId="216B95CE" w14:textId="77777777" w:rsidR="00784331" w:rsidRPr="00280BC8" w:rsidRDefault="00784331" w:rsidP="00217066">
      <w:pPr>
        <w:widowControl w:val="0"/>
        <w:autoSpaceDE w:val="0"/>
        <w:autoSpaceDN w:val="0"/>
        <w:adjustRightInd w:val="0"/>
        <w:spacing w:after="0" w:line="276" w:lineRule="auto"/>
        <w:ind w:left="640" w:hanging="640"/>
        <w:jc w:val="both"/>
        <w:rPr>
          <w:rFonts w:ascii="Calibri" w:hAnsi="Calibri" w:cs="Calibri"/>
          <w:noProof/>
          <w:lang w:val="it-IT"/>
        </w:rPr>
      </w:pPr>
      <w:r w:rsidRPr="006D70DB">
        <w:rPr>
          <w:rFonts w:ascii="Calibri" w:hAnsi="Calibri" w:cs="Calibri"/>
          <w:noProof/>
        </w:rPr>
        <w:t xml:space="preserve">3. </w:t>
      </w:r>
      <w:r w:rsidRPr="006D70DB">
        <w:rPr>
          <w:rFonts w:ascii="Calibri" w:hAnsi="Calibri" w:cs="Calibri"/>
          <w:noProof/>
        </w:rPr>
        <w:tab/>
        <w:t xml:space="preserve">Dahle DO, Skauby M, Langberg CW, Brabrand K, Wessel N, Midtvedt K. Renal Cell Carcinoma and Kidney Transplantation: A Narrative Review. </w:t>
      </w:r>
      <w:r w:rsidRPr="00280BC8">
        <w:rPr>
          <w:rFonts w:ascii="Calibri" w:hAnsi="Calibri" w:cs="Calibri"/>
          <w:i/>
          <w:iCs/>
          <w:noProof/>
          <w:lang w:val="it-IT"/>
        </w:rPr>
        <w:t>Transplantation</w:t>
      </w:r>
      <w:r w:rsidRPr="00280BC8">
        <w:rPr>
          <w:rFonts w:ascii="Calibri" w:hAnsi="Calibri" w:cs="Calibri"/>
          <w:noProof/>
          <w:lang w:val="it-IT"/>
        </w:rPr>
        <w:t>. 2022;106(1). https://journals.lww.com/transplantjournal/Fulltext/2022/01000/Renal_Cell_Carcinoma_and_Kidney_Transplantation__A.18.aspx</w:t>
      </w:r>
    </w:p>
    <w:p w14:paraId="375ED03C" w14:textId="77777777" w:rsidR="00784331" w:rsidRPr="006D70DB" w:rsidRDefault="00784331" w:rsidP="00217066">
      <w:pPr>
        <w:widowControl w:val="0"/>
        <w:autoSpaceDE w:val="0"/>
        <w:autoSpaceDN w:val="0"/>
        <w:adjustRightInd w:val="0"/>
        <w:spacing w:after="0" w:line="276" w:lineRule="auto"/>
        <w:ind w:left="640" w:hanging="640"/>
        <w:jc w:val="both"/>
        <w:rPr>
          <w:rFonts w:ascii="Calibri" w:hAnsi="Calibri" w:cs="Calibri"/>
          <w:noProof/>
        </w:rPr>
      </w:pPr>
      <w:r w:rsidRPr="00280BC8">
        <w:rPr>
          <w:rFonts w:ascii="Calibri" w:hAnsi="Calibri" w:cs="Calibri"/>
          <w:noProof/>
          <w:lang w:val="it-IT"/>
        </w:rPr>
        <w:t xml:space="preserve">4. </w:t>
      </w:r>
      <w:r w:rsidRPr="00280BC8">
        <w:rPr>
          <w:rFonts w:ascii="Calibri" w:hAnsi="Calibri" w:cs="Calibri"/>
          <w:noProof/>
          <w:lang w:val="it-IT"/>
        </w:rPr>
        <w:tab/>
        <w:t xml:space="preserve">Eccher A, Girolami I, Motter JD, et al. </w:t>
      </w:r>
      <w:r w:rsidRPr="006D70DB">
        <w:rPr>
          <w:rFonts w:ascii="Calibri" w:hAnsi="Calibri" w:cs="Calibri"/>
          <w:noProof/>
        </w:rPr>
        <w:t xml:space="preserve">Donor-transmitted cancer in kidney transplant recipients: a systematic review. </w:t>
      </w:r>
      <w:r w:rsidRPr="006D70DB">
        <w:rPr>
          <w:rFonts w:ascii="Calibri" w:hAnsi="Calibri" w:cs="Calibri"/>
          <w:i/>
          <w:iCs/>
          <w:noProof/>
        </w:rPr>
        <w:t>J Nephrol</w:t>
      </w:r>
      <w:r w:rsidRPr="006D70DB">
        <w:rPr>
          <w:rFonts w:ascii="Calibri" w:hAnsi="Calibri" w:cs="Calibri"/>
          <w:noProof/>
        </w:rPr>
        <w:t>. 2020;33(6):1321-1332. doi:10.1007/s40620-020-00775-4</w:t>
      </w:r>
    </w:p>
    <w:p w14:paraId="4B6763D0" w14:textId="77777777" w:rsidR="00784331" w:rsidRPr="006D70DB" w:rsidRDefault="00784331" w:rsidP="00217066">
      <w:pPr>
        <w:widowControl w:val="0"/>
        <w:autoSpaceDE w:val="0"/>
        <w:autoSpaceDN w:val="0"/>
        <w:adjustRightInd w:val="0"/>
        <w:spacing w:after="0" w:line="276" w:lineRule="auto"/>
        <w:ind w:left="640" w:hanging="640"/>
        <w:jc w:val="both"/>
        <w:rPr>
          <w:rFonts w:ascii="Calibri" w:hAnsi="Calibri" w:cs="Calibri"/>
          <w:noProof/>
        </w:rPr>
      </w:pPr>
      <w:r w:rsidRPr="006D70DB">
        <w:rPr>
          <w:rFonts w:ascii="Calibri" w:hAnsi="Calibri" w:cs="Calibri"/>
          <w:noProof/>
        </w:rPr>
        <w:t xml:space="preserve">5. </w:t>
      </w:r>
      <w:r w:rsidRPr="006D70DB">
        <w:rPr>
          <w:rFonts w:ascii="Calibri" w:hAnsi="Calibri" w:cs="Calibri"/>
          <w:noProof/>
        </w:rPr>
        <w:tab/>
        <w:t xml:space="preserve">Lubetzky M, Tantisattamo E, Molnar MZ, et al. The failing kidney allograft: A review and recommendations for the care and  management of a complex group of patients. </w:t>
      </w:r>
      <w:r w:rsidRPr="006D70DB">
        <w:rPr>
          <w:rFonts w:ascii="Calibri" w:hAnsi="Calibri" w:cs="Calibri"/>
          <w:i/>
          <w:iCs/>
          <w:noProof/>
        </w:rPr>
        <w:t>Am J Transplant  Off J Am Soc  Transplant Am Soc Transpl Surg</w:t>
      </w:r>
      <w:r w:rsidRPr="006D70DB">
        <w:rPr>
          <w:rFonts w:ascii="Calibri" w:hAnsi="Calibri" w:cs="Calibri"/>
          <w:noProof/>
        </w:rPr>
        <w:t>. 2021;21(9):2937-2949. doi:10.1111/ajt.16717</w:t>
      </w:r>
    </w:p>
    <w:p w14:paraId="586D107B" w14:textId="77777777" w:rsidR="00784331" w:rsidRPr="006D70DB" w:rsidRDefault="00784331" w:rsidP="00217066">
      <w:pPr>
        <w:widowControl w:val="0"/>
        <w:autoSpaceDE w:val="0"/>
        <w:autoSpaceDN w:val="0"/>
        <w:adjustRightInd w:val="0"/>
        <w:spacing w:after="0" w:line="276" w:lineRule="auto"/>
        <w:ind w:left="640" w:hanging="640"/>
        <w:jc w:val="both"/>
        <w:rPr>
          <w:rFonts w:ascii="Calibri" w:hAnsi="Calibri" w:cs="Calibri"/>
          <w:noProof/>
        </w:rPr>
      </w:pPr>
      <w:r w:rsidRPr="006D70DB">
        <w:rPr>
          <w:rFonts w:ascii="Calibri" w:hAnsi="Calibri" w:cs="Calibri"/>
          <w:noProof/>
        </w:rPr>
        <w:t xml:space="preserve">6. </w:t>
      </w:r>
      <w:r w:rsidRPr="006D70DB">
        <w:rPr>
          <w:rFonts w:ascii="Calibri" w:hAnsi="Calibri" w:cs="Calibri"/>
          <w:noProof/>
        </w:rPr>
        <w:tab/>
        <w:t xml:space="preserve">Pham P-T, Everly M, Faravardeh A, Pham P-C. Management of patients with a failed kidney transplant: Dialysis reinitiation,  immunosuppression weaning, and transplantectomy. </w:t>
      </w:r>
      <w:r w:rsidRPr="006D70DB">
        <w:rPr>
          <w:rFonts w:ascii="Calibri" w:hAnsi="Calibri" w:cs="Calibri"/>
          <w:i/>
          <w:iCs/>
          <w:noProof/>
        </w:rPr>
        <w:t>World J Nephrol</w:t>
      </w:r>
      <w:r w:rsidRPr="006D70DB">
        <w:rPr>
          <w:rFonts w:ascii="Calibri" w:hAnsi="Calibri" w:cs="Calibri"/>
          <w:noProof/>
        </w:rPr>
        <w:t>. 2015;4(2):148-159. doi:10.5527/wjn.v4.i2.148</w:t>
      </w:r>
    </w:p>
    <w:p w14:paraId="6B1E2A6E" w14:textId="77777777" w:rsidR="00784331" w:rsidRPr="006D70DB" w:rsidRDefault="00784331" w:rsidP="00217066">
      <w:pPr>
        <w:widowControl w:val="0"/>
        <w:autoSpaceDE w:val="0"/>
        <w:autoSpaceDN w:val="0"/>
        <w:adjustRightInd w:val="0"/>
        <w:spacing w:after="0" w:line="276" w:lineRule="auto"/>
        <w:ind w:left="640" w:hanging="640"/>
        <w:jc w:val="both"/>
        <w:rPr>
          <w:rFonts w:ascii="Calibri" w:hAnsi="Calibri" w:cs="Calibri"/>
          <w:noProof/>
        </w:rPr>
      </w:pPr>
      <w:r w:rsidRPr="006D70DB">
        <w:rPr>
          <w:rFonts w:ascii="Calibri" w:hAnsi="Calibri" w:cs="Calibri"/>
          <w:noProof/>
        </w:rPr>
        <w:t xml:space="preserve">7. </w:t>
      </w:r>
      <w:r w:rsidRPr="006D70DB">
        <w:rPr>
          <w:rFonts w:ascii="Calibri" w:hAnsi="Calibri" w:cs="Calibri"/>
          <w:noProof/>
        </w:rPr>
        <w:tab/>
        <w:t xml:space="preserve">Ayus JC, Achinger SG, Lee S, Sayegh MH, Go AS. Transplant nephrectomy improves survival following a failed renal allograft. </w:t>
      </w:r>
      <w:r w:rsidRPr="006D70DB">
        <w:rPr>
          <w:rFonts w:ascii="Calibri" w:hAnsi="Calibri" w:cs="Calibri"/>
          <w:i/>
          <w:iCs/>
          <w:noProof/>
        </w:rPr>
        <w:t>J Am Soc Nephrol</w:t>
      </w:r>
      <w:r w:rsidRPr="006D70DB">
        <w:rPr>
          <w:rFonts w:ascii="Calibri" w:hAnsi="Calibri" w:cs="Calibri"/>
          <w:noProof/>
        </w:rPr>
        <w:t>. 2010;21(2):374-380. doi:10.1681/ASN.2009050480</w:t>
      </w:r>
    </w:p>
    <w:p w14:paraId="7F4E9F70" w14:textId="77777777" w:rsidR="00784331" w:rsidRPr="006D70DB" w:rsidRDefault="00784331" w:rsidP="00217066">
      <w:pPr>
        <w:widowControl w:val="0"/>
        <w:autoSpaceDE w:val="0"/>
        <w:autoSpaceDN w:val="0"/>
        <w:adjustRightInd w:val="0"/>
        <w:spacing w:after="0" w:line="276" w:lineRule="auto"/>
        <w:ind w:left="640" w:hanging="640"/>
        <w:jc w:val="both"/>
        <w:rPr>
          <w:rFonts w:ascii="Calibri" w:hAnsi="Calibri" w:cs="Calibri"/>
          <w:noProof/>
        </w:rPr>
      </w:pPr>
      <w:r w:rsidRPr="006D70DB">
        <w:rPr>
          <w:rFonts w:ascii="Calibri" w:hAnsi="Calibri" w:cs="Calibri"/>
          <w:noProof/>
        </w:rPr>
        <w:t xml:space="preserve">8. </w:t>
      </w:r>
      <w:r w:rsidRPr="006D70DB">
        <w:rPr>
          <w:rFonts w:ascii="Calibri" w:hAnsi="Calibri" w:cs="Calibri"/>
          <w:noProof/>
        </w:rPr>
        <w:tab/>
        <w:t xml:space="preserve">Schaefer HM, Helderman JH. Allograft Nephrectomy after Transplant Failure: Should It Be Performed in All Patients Returning to Dialysis? </w:t>
      </w:r>
      <w:r w:rsidRPr="006D70DB">
        <w:rPr>
          <w:rFonts w:ascii="Calibri" w:hAnsi="Calibri" w:cs="Calibri"/>
          <w:i/>
          <w:iCs/>
          <w:noProof/>
        </w:rPr>
        <w:t>J Am Soc Nephrol</w:t>
      </w:r>
      <w:r w:rsidRPr="006D70DB">
        <w:rPr>
          <w:rFonts w:ascii="Calibri" w:hAnsi="Calibri" w:cs="Calibri"/>
          <w:noProof/>
        </w:rPr>
        <w:t xml:space="preserve">. 2010;21(2):207-208. </w:t>
      </w:r>
      <w:r w:rsidRPr="006D70DB">
        <w:rPr>
          <w:rFonts w:ascii="Calibri" w:hAnsi="Calibri" w:cs="Calibri"/>
          <w:noProof/>
        </w:rPr>
        <w:lastRenderedPageBreak/>
        <w:t>doi:10.1681/ASN.2009121262</w:t>
      </w:r>
    </w:p>
    <w:p w14:paraId="06479808" w14:textId="77777777" w:rsidR="00784331" w:rsidRPr="006D70DB" w:rsidRDefault="00784331" w:rsidP="00217066">
      <w:pPr>
        <w:widowControl w:val="0"/>
        <w:autoSpaceDE w:val="0"/>
        <w:autoSpaceDN w:val="0"/>
        <w:adjustRightInd w:val="0"/>
        <w:spacing w:after="0" w:line="276" w:lineRule="auto"/>
        <w:ind w:left="640" w:hanging="640"/>
        <w:jc w:val="both"/>
        <w:rPr>
          <w:rFonts w:ascii="Calibri" w:hAnsi="Calibri" w:cs="Calibri"/>
          <w:noProof/>
        </w:rPr>
      </w:pPr>
      <w:r w:rsidRPr="006D70DB">
        <w:rPr>
          <w:rFonts w:ascii="Calibri" w:hAnsi="Calibri" w:cs="Calibri"/>
          <w:noProof/>
        </w:rPr>
        <w:t xml:space="preserve">9. </w:t>
      </w:r>
      <w:r w:rsidRPr="006D70DB">
        <w:rPr>
          <w:rFonts w:ascii="Calibri" w:hAnsi="Calibri" w:cs="Calibri"/>
          <w:noProof/>
        </w:rPr>
        <w:tab/>
        <w:t xml:space="preserve">Kosmoliaptsis V, Gjorgjimajkoska O, Sharples LD, et al. Impact of donor mismatches at individual HLA-A, -B, -C, -DR, and -DQ loci on the development of HLA-specific antibodies in patients listed for repeat renal transplantation. </w:t>
      </w:r>
      <w:r w:rsidRPr="006D70DB">
        <w:rPr>
          <w:rFonts w:ascii="Calibri" w:hAnsi="Calibri" w:cs="Calibri"/>
          <w:i/>
          <w:iCs/>
          <w:noProof/>
        </w:rPr>
        <w:t>Kidney Int</w:t>
      </w:r>
      <w:r w:rsidRPr="006D70DB">
        <w:rPr>
          <w:rFonts w:ascii="Calibri" w:hAnsi="Calibri" w:cs="Calibri"/>
          <w:noProof/>
        </w:rPr>
        <w:t>. 2014;86(5):1039-1048.</w:t>
      </w:r>
    </w:p>
    <w:p w14:paraId="03A026A1" w14:textId="77777777" w:rsidR="00784331" w:rsidRPr="006D70DB" w:rsidRDefault="00784331" w:rsidP="00217066">
      <w:pPr>
        <w:widowControl w:val="0"/>
        <w:autoSpaceDE w:val="0"/>
        <w:autoSpaceDN w:val="0"/>
        <w:adjustRightInd w:val="0"/>
        <w:spacing w:after="0" w:line="276" w:lineRule="auto"/>
        <w:ind w:left="640" w:hanging="640"/>
        <w:jc w:val="both"/>
        <w:rPr>
          <w:rFonts w:ascii="Calibri" w:hAnsi="Calibri" w:cs="Calibri"/>
          <w:noProof/>
        </w:rPr>
      </w:pPr>
      <w:r w:rsidRPr="006D70DB">
        <w:rPr>
          <w:rFonts w:ascii="Calibri" w:hAnsi="Calibri" w:cs="Calibri"/>
          <w:noProof/>
        </w:rPr>
        <w:t xml:space="preserve">10. </w:t>
      </w:r>
      <w:r w:rsidRPr="006D70DB">
        <w:rPr>
          <w:rFonts w:ascii="Calibri" w:hAnsi="Calibri" w:cs="Calibri"/>
          <w:noProof/>
        </w:rPr>
        <w:tab/>
        <w:t xml:space="preserve">Knechtle SJ. </w:t>
      </w:r>
      <w:r w:rsidRPr="006D70DB">
        <w:rPr>
          <w:rFonts w:ascii="Calibri" w:hAnsi="Calibri" w:cs="Calibri"/>
          <w:i/>
          <w:iCs/>
          <w:noProof/>
        </w:rPr>
        <w:t>Kidney Transplantation - Principles and Practice E-Book / Stuart J. Knechtle, Lorna P. Marson, Peter J Morris.</w:t>
      </w:r>
      <w:r w:rsidRPr="006D70DB">
        <w:rPr>
          <w:rFonts w:ascii="Calibri" w:hAnsi="Calibri" w:cs="Calibri"/>
          <w:noProof/>
        </w:rPr>
        <w:t xml:space="preserve"> 8th.; 2019.</w:t>
      </w:r>
    </w:p>
    <w:p w14:paraId="31F6990C" w14:textId="77777777" w:rsidR="00784331" w:rsidRPr="006D70DB" w:rsidRDefault="00784331" w:rsidP="00217066">
      <w:pPr>
        <w:widowControl w:val="0"/>
        <w:autoSpaceDE w:val="0"/>
        <w:autoSpaceDN w:val="0"/>
        <w:adjustRightInd w:val="0"/>
        <w:spacing w:after="0" w:line="276" w:lineRule="auto"/>
        <w:ind w:left="640" w:hanging="640"/>
        <w:jc w:val="both"/>
        <w:rPr>
          <w:rFonts w:ascii="Calibri" w:hAnsi="Calibri" w:cs="Calibri"/>
          <w:noProof/>
        </w:rPr>
      </w:pPr>
      <w:r w:rsidRPr="006D70DB">
        <w:rPr>
          <w:rFonts w:ascii="Calibri" w:hAnsi="Calibri" w:cs="Calibri"/>
          <w:noProof/>
        </w:rPr>
        <w:t xml:space="preserve">11. </w:t>
      </w:r>
      <w:r w:rsidRPr="006D70DB">
        <w:rPr>
          <w:rFonts w:ascii="Calibri" w:hAnsi="Calibri" w:cs="Calibri"/>
          <w:noProof/>
        </w:rPr>
        <w:tab/>
        <w:t xml:space="preserve">Sutherland DE, Simmons RL, Howard RJ, Najarian JS. Intracapsular technique of transplant nephrectomy. </w:t>
      </w:r>
      <w:r w:rsidRPr="006D70DB">
        <w:rPr>
          <w:rFonts w:ascii="Calibri" w:hAnsi="Calibri" w:cs="Calibri"/>
          <w:i/>
          <w:iCs/>
          <w:noProof/>
        </w:rPr>
        <w:t>Surg Gynecol Obstet</w:t>
      </w:r>
      <w:r w:rsidRPr="006D70DB">
        <w:rPr>
          <w:rFonts w:ascii="Calibri" w:hAnsi="Calibri" w:cs="Calibri"/>
          <w:noProof/>
        </w:rPr>
        <w:t>. 1978;146(6):950-952.</w:t>
      </w:r>
    </w:p>
    <w:p w14:paraId="5C5A41CA" w14:textId="77777777" w:rsidR="00784331" w:rsidRPr="00280BC8" w:rsidRDefault="00784331" w:rsidP="00217066">
      <w:pPr>
        <w:widowControl w:val="0"/>
        <w:autoSpaceDE w:val="0"/>
        <w:autoSpaceDN w:val="0"/>
        <w:adjustRightInd w:val="0"/>
        <w:spacing w:after="0" w:line="276" w:lineRule="auto"/>
        <w:ind w:left="640" w:hanging="640"/>
        <w:jc w:val="both"/>
        <w:rPr>
          <w:rFonts w:ascii="Calibri" w:hAnsi="Calibri" w:cs="Calibri"/>
          <w:noProof/>
          <w:lang w:val="fr-FR"/>
        </w:rPr>
      </w:pPr>
      <w:r w:rsidRPr="006D70DB">
        <w:rPr>
          <w:rFonts w:ascii="Calibri" w:hAnsi="Calibri" w:cs="Calibri"/>
          <w:noProof/>
        </w:rPr>
        <w:t xml:space="preserve">12. </w:t>
      </w:r>
      <w:r w:rsidRPr="006D70DB">
        <w:rPr>
          <w:rFonts w:ascii="Calibri" w:hAnsi="Calibri" w:cs="Calibri"/>
          <w:noProof/>
        </w:rPr>
        <w:tab/>
        <w:t xml:space="preserve">Touma NJ, Sener A, Caumartin Y, Warren J, Nguan CY, Luke PPW. Extracapsular versus intracapsular allograft nephrectomy: impact on  allosensitization and surgical outcomes. </w:t>
      </w:r>
      <w:r w:rsidRPr="00280BC8">
        <w:rPr>
          <w:rFonts w:ascii="Calibri" w:hAnsi="Calibri" w:cs="Calibri"/>
          <w:i/>
          <w:iCs/>
          <w:noProof/>
          <w:lang w:val="fr-FR"/>
        </w:rPr>
        <w:t>Can Urol Assoc J = J l’Association des Urol  du Canada</w:t>
      </w:r>
      <w:r w:rsidRPr="00280BC8">
        <w:rPr>
          <w:rFonts w:ascii="Calibri" w:hAnsi="Calibri" w:cs="Calibri"/>
          <w:noProof/>
          <w:lang w:val="fr-FR"/>
        </w:rPr>
        <w:t>. 2011;5(1):49-52. doi:10.5489/cuaj.10016</w:t>
      </w:r>
    </w:p>
    <w:p w14:paraId="0D9AD9D2" w14:textId="77777777" w:rsidR="00784331" w:rsidRPr="00280BC8" w:rsidRDefault="00784331" w:rsidP="00217066">
      <w:pPr>
        <w:widowControl w:val="0"/>
        <w:autoSpaceDE w:val="0"/>
        <w:autoSpaceDN w:val="0"/>
        <w:adjustRightInd w:val="0"/>
        <w:spacing w:after="0" w:line="276" w:lineRule="auto"/>
        <w:ind w:left="640" w:hanging="640"/>
        <w:jc w:val="both"/>
        <w:rPr>
          <w:rFonts w:ascii="Calibri" w:hAnsi="Calibri" w:cs="Calibri"/>
          <w:noProof/>
          <w:lang w:val="fr-FR"/>
        </w:rPr>
      </w:pPr>
      <w:r w:rsidRPr="00280BC8">
        <w:rPr>
          <w:rFonts w:ascii="Calibri" w:hAnsi="Calibri" w:cs="Calibri"/>
          <w:noProof/>
          <w:lang w:val="fr-FR"/>
        </w:rPr>
        <w:t xml:space="preserve">13. </w:t>
      </w:r>
      <w:r w:rsidRPr="00280BC8">
        <w:rPr>
          <w:rFonts w:ascii="Calibri" w:hAnsi="Calibri" w:cs="Calibri"/>
          <w:noProof/>
          <w:lang w:val="fr-FR"/>
        </w:rPr>
        <w:tab/>
        <w:t xml:space="preserve">Takase HM, Contti MM, Nga HS, et al. </w:t>
      </w:r>
      <w:r w:rsidRPr="006D70DB">
        <w:rPr>
          <w:rFonts w:ascii="Calibri" w:hAnsi="Calibri" w:cs="Calibri"/>
          <w:noProof/>
        </w:rPr>
        <w:t xml:space="preserve">Nephrectomy Versus Embolization of Non-Functioning Renal Graft: A Systematic  Review with a Proportional Meta-Analysis. </w:t>
      </w:r>
      <w:r w:rsidRPr="00280BC8">
        <w:rPr>
          <w:rFonts w:ascii="Calibri" w:hAnsi="Calibri" w:cs="Calibri"/>
          <w:i/>
          <w:iCs/>
          <w:noProof/>
          <w:lang w:val="fr-FR"/>
        </w:rPr>
        <w:t>Ann Transplant</w:t>
      </w:r>
      <w:r w:rsidRPr="00280BC8">
        <w:rPr>
          <w:rFonts w:ascii="Calibri" w:hAnsi="Calibri" w:cs="Calibri"/>
          <w:noProof/>
          <w:lang w:val="fr-FR"/>
        </w:rPr>
        <w:t>. 2018;23:207-217. doi:10.12659/AOT.907700</w:t>
      </w:r>
    </w:p>
    <w:p w14:paraId="08A3154D" w14:textId="77777777" w:rsidR="00784331" w:rsidRPr="006D70DB" w:rsidRDefault="00784331" w:rsidP="00217066">
      <w:pPr>
        <w:widowControl w:val="0"/>
        <w:autoSpaceDE w:val="0"/>
        <w:autoSpaceDN w:val="0"/>
        <w:adjustRightInd w:val="0"/>
        <w:spacing w:after="0" w:line="276" w:lineRule="auto"/>
        <w:ind w:left="640" w:hanging="640"/>
        <w:jc w:val="both"/>
        <w:rPr>
          <w:rFonts w:ascii="Calibri" w:hAnsi="Calibri" w:cs="Calibri"/>
          <w:noProof/>
        </w:rPr>
      </w:pPr>
      <w:r w:rsidRPr="00280BC8">
        <w:rPr>
          <w:rFonts w:ascii="Calibri" w:hAnsi="Calibri" w:cs="Calibri"/>
          <w:noProof/>
          <w:lang w:val="fr-FR"/>
        </w:rPr>
        <w:t xml:space="preserve">14. </w:t>
      </w:r>
      <w:r w:rsidRPr="00280BC8">
        <w:rPr>
          <w:rFonts w:ascii="Calibri" w:hAnsi="Calibri" w:cs="Calibri"/>
          <w:noProof/>
          <w:lang w:val="fr-FR"/>
        </w:rPr>
        <w:tab/>
        <w:t xml:space="preserve">Yeh L-M, Chiu SY-H, Lai P-C. </w:t>
      </w:r>
      <w:r w:rsidRPr="006D70DB">
        <w:rPr>
          <w:rFonts w:ascii="Calibri" w:hAnsi="Calibri" w:cs="Calibri"/>
          <w:noProof/>
        </w:rPr>
        <w:t xml:space="preserve">The Impact of Vascular Access Types on Hemodialysis Patient Long-term Survival. </w:t>
      </w:r>
      <w:r w:rsidRPr="006D70DB">
        <w:rPr>
          <w:rFonts w:ascii="Calibri" w:hAnsi="Calibri" w:cs="Calibri"/>
          <w:i/>
          <w:iCs/>
          <w:noProof/>
        </w:rPr>
        <w:t>Sci Rep</w:t>
      </w:r>
      <w:r w:rsidRPr="006D70DB">
        <w:rPr>
          <w:rFonts w:ascii="Calibri" w:hAnsi="Calibri" w:cs="Calibri"/>
          <w:noProof/>
        </w:rPr>
        <w:t>. 2019;9(1):10708. doi:10.1038/s41598-019-47065-z</w:t>
      </w:r>
    </w:p>
    <w:p w14:paraId="7374CD70" w14:textId="77777777" w:rsidR="00784331" w:rsidRPr="006D70DB" w:rsidRDefault="00784331" w:rsidP="00217066">
      <w:pPr>
        <w:widowControl w:val="0"/>
        <w:autoSpaceDE w:val="0"/>
        <w:autoSpaceDN w:val="0"/>
        <w:adjustRightInd w:val="0"/>
        <w:spacing w:after="0" w:line="276" w:lineRule="auto"/>
        <w:ind w:left="641" w:hanging="641"/>
        <w:jc w:val="both"/>
        <w:rPr>
          <w:rFonts w:ascii="Calibri" w:hAnsi="Calibri" w:cs="Calibri"/>
          <w:noProof/>
        </w:rPr>
      </w:pPr>
      <w:r w:rsidRPr="006D70DB">
        <w:rPr>
          <w:rFonts w:ascii="Calibri" w:hAnsi="Calibri" w:cs="Calibri"/>
          <w:noProof/>
        </w:rPr>
        <w:t xml:space="preserve">15. </w:t>
      </w:r>
      <w:r w:rsidRPr="006D70DB">
        <w:rPr>
          <w:rFonts w:ascii="Calibri" w:hAnsi="Calibri" w:cs="Calibri"/>
          <w:noProof/>
        </w:rPr>
        <w:tab/>
        <w:t xml:space="preserve">Almasri J, Alsawas M, Mainou M, et al. Outcomes of vascular access for hemodialysis: A~systematic review and meta-analysis. </w:t>
      </w:r>
      <w:r w:rsidRPr="006D70DB">
        <w:rPr>
          <w:rFonts w:ascii="Calibri" w:hAnsi="Calibri" w:cs="Calibri"/>
          <w:i/>
          <w:iCs/>
          <w:noProof/>
        </w:rPr>
        <w:t>J Vasc Surg</w:t>
      </w:r>
      <w:r w:rsidRPr="006D70DB">
        <w:rPr>
          <w:rFonts w:ascii="Calibri" w:hAnsi="Calibri" w:cs="Calibri"/>
          <w:noProof/>
        </w:rPr>
        <w:t>. 2016;64(1):236-243.</w:t>
      </w:r>
    </w:p>
    <w:p w14:paraId="62FA30CE" w14:textId="77777777" w:rsidR="00784331" w:rsidRPr="006D70DB" w:rsidRDefault="00784331" w:rsidP="00217066">
      <w:pPr>
        <w:widowControl w:val="0"/>
        <w:autoSpaceDE w:val="0"/>
        <w:autoSpaceDN w:val="0"/>
        <w:adjustRightInd w:val="0"/>
        <w:spacing w:after="0" w:line="276" w:lineRule="auto"/>
        <w:ind w:left="640" w:hanging="640"/>
        <w:jc w:val="both"/>
        <w:rPr>
          <w:rFonts w:ascii="Calibri" w:hAnsi="Calibri" w:cs="Calibri"/>
          <w:noProof/>
        </w:rPr>
      </w:pPr>
      <w:r w:rsidRPr="006D70DB">
        <w:rPr>
          <w:rFonts w:ascii="Calibri" w:hAnsi="Calibri" w:cs="Calibri"/>
          <w:noProof/>
        </w:rPr>
        <w:t xml:space="preserve">16. </w:t>
      </w:r>
      <w:r w:rsidRPr="006D70DB">
        <w:rPr>
          <w:rFonts w:ascii="Calibri" w:hAnsi="Calibri" w:cs="Calibri"/>
          <w:noProof/>
        </w:rPr>
        <w:tab/>
        <w:t xml:space="preserve">Chan MR, Oza-Gajera B, Chapla K, et al. Initial vascular access type in patients with a failed renal transplant. </w:t>
      </w:r>
      <w:r w:rsidRPr="006D70DB">
        <w:rPr>
          <w:rFonts w:ascii="Calibri" w:hAnsi="Calibri" w:cs="Calibri"/>
          <w:i/>
          <w:iCs/>
          <w:noProof/>
        </w:rPr>
        <w:t>Clin J Am Soc Nephrol</w:t>
      </w:r>
      <w:r w:rsidRPr="006D70DB">
        <w:rPr>
          <w:rFonts w:ascii="Calibri" w:hAnsi="Calibri" w:cs="Calibri"/>
          <w:noProof/>
        </w:rPr>
        <w:t>. 2014;9(7):1225-1231. doi:10.2215/CJN.12461213</w:t>
      </w:r>
    </w:p>
    <w:p w14:paraId="332F3710" w14:textId="77777777" w:rsidR="00784331" w:rsidRPr="00280BC8" w:rsidRDefault="00784331" w:rsidP="00217066">
      <w:pPr>
        <w:widowControl w:val="0"/>
        <w:autoSpaceDE w:val="0"/>
        <w:autoSpaceDN w:val="0"/>
        <w:adjustRightInd w:val="0"/>
        <w:spacing w:after="0" w:line="276" w:lineRule="auto"/>
        <w:ind w:left="640" w:hanging="640"/>
        <w:jc w:val="both"/>
        <w:rPr>
          <w:rFonts w:ascii="Calibri" w:hAnsi="Calibri" w:cs="Calibri"/>
          <w:noProof/>
          <w:lang w:val="fr-FR"/>
        </w:rPr>
      </w:pPr>
      <w:r w:rsidRPr="006D70DB">
        <w:rPr>
          <w:rFonts w:ascii="Calibri" w:hAnsi="Calibri" w:cs="Calibri"/>
          <w:noProof/>
        </w:rPr>
        <w:t xml:space="preserve">17. </w:t>
      </w:r>
      <w:r w:rsidRPr="006D70DB">
        <w:rPr>
          <w:rFonts w:ascii="Calibri" w:hAnsi="Calibri" w:cs="Calibri"/>
          <w:noProof/>
        </w:rPr>
        <w:tab/>
        <w:t xml:space="preserve">Evans RDR, Bekele S, Campbell SM, et al. Assessment of a Dedicated Transplant Low Clearance Clinic and Patient Outcomes on Dialysis After Renal Allograft Loss at 2 UK Transplant Centers. </w:t>
      </w:r>
      <w:r w:rsidRPr="00280BC8">
        <w:rPr>
          <w:rFonts w:ascii="Calibri" w:hAnsi="Calibri" w:cs="Calibri"/>
          <w:i/>
          <w:iCs/>
          <w:noProof/>
          <w:lang w:val="fr-FR"/>
        </w:rPr>
        <w:t>Transplant Direct</w:t>
      </w:r>
      <w:r w:rsidRPr="00280BC8">
        <w:rPr>
          <w:rFonts w:ascii="Calibri" w:hAnsi="Calibri" w:cs="Calibri"/>
          <w:noProof/>
          <w:lang w:val="fr-FR"/>
        </w:rPr>
        <w:t>. 2018;4(6). https://journals.lww.com/transplantationdirect/Fulltext/2018/06000/Assessment_of_a_Dedicated_Transplant_Low_Clearance.4.aspx</w:t>
      </w:r>
    </w:p>
    <w:p w14:paraId="35602DB1" w14:textId="63D9DF72" w:rsidR="00784331" w:rsidRDefault="00784331" w:rsidP="00217066">
      <w:pPr>
        <w:widowControl w:val="0"/>
        <w:autoSpaceDE w:val="0"/>
        <w:autoSpaceDN w:val="0"/>
        <w:adjustRightInd w:val="0"/>
        <w:spacing w:after="0" w:line="276" w:lineRule="auto"/>
        <w:ind w:left="640" w:hanging="640"/>
        <w:jc w:val="both"/>
        <w:rPr>
          <w:rFonts w:ascii="Calibri" w:hAnsi="Calibri" w:cs="Calibri"/>
          <w:noProof/>
        </w:rPr>
      </w:pPr>
      <w:r w:rsidRPr="00280BC8">
        <w:rPr>
          <w:rFonts w:ascii="Calibri" w:hAnsi="Calibri" w:cs="Calibri"/>
          <w:noProof/>
          <w:lang w:val="fr-FR"/>
        </w:rPr>
        <w:t xml:space="preserve">18. </w:t>
      </w:r>
      <w:r w:rsidRPr="00280BC8">
        <w:rPr>
          <w:rFonts w:ascii="Calibri" w:hAnsi="Calibri" w:cs="Calibri"/>
          <w:noProof/>
          <w:lang w:val="fr-FR"/>
        </w:rPr>
        <w:tab/>
        <w:t xml:space="preserve">Perl J, Hasan O, Bargman JM, et al. Impact of Dialysis Modality on Survival after Kidney Transplant Failure. </w:t>
      </w:r>
      <w:r w:rsidRPr="006D70DB">
        <w:rPr>
          <w:rFonts w:ascii="Calibri" w:hAnsi="Calibri" w:cs="Calibri"/>
          <w:i/>
          <w:iCs/>
          <w:noProof/>
        </w:rPr>
        <w:t>Clin J Am Soc Nephrol</w:t>
      </w:r>
      <w:r w:rsidRPr="006D70DB">
        <w:rPr>
          <w:rFonts w:ascii="Calibri" w:hAnsi="Calibri" w:cs="Calibri"/>
          <w:noProof/>
        </w:rPr>
        <w:t>. 2011;6(3):582-590. doi:10.2215/CJN.06640810</w:t>
      </w:r>
    </w:p>
    <w:p w14:paraId="385DFFBE" w14:textId="77777777" w:rsidR="00217066" w:rsidRPr="006D70DB" w:rsidRDefault="00217066" w:rsidP="00217066">
      <w:pPr>
        <w:widowControl w:val="0"/>
        <w:autoSpaceDE w:val="0"/>
        <w:autoSpaceDN w:val="0"/>
        <w:adjustRightInd w:val="0"/>
        <w:spacing w:after="0" w:line="276" w:lineRule="auto"/>
        <w:ind w:left="640" w:hanging="640"/>
        <w:jc w:val="both"/>
        <w:rPr>
          <w:rFonts w:ascii="Calibri" w:hAnsi="Calibri" w:cs="Calibri"/>
          <w:noProof/>
        </w:rPr>
      </w:pPr>
    </w:p>
    <w:p w14:paraId="6BDE18D5" w14:textId="5A6D8326" w:rsidR="0019471C" w:rsidRDefault="00784331" w:rsidP="00217066">
      <w:pPr>
        <w:pStyle w:val="Heading1"/>
        <w:spacing w:before="0" w:line="276" w:lineRule="auto"/>
      </w:pPr>
      <w:r>
        <w:fldChar w:fldCharType="end"/>
      </w:r>
      <w:bookmarkStart w:id="39" w:name="_Toc128329947"/>
      <w:r w:rsidR="00AF10E1">
        <w:t xml:space="preserve">4 </w:t>
      </w:r>
      <w:r w:rsidR="0019471C">
        <w:t>PSYCHOSOCIAL ISSUES</w:t>
      </w:r>
      <w:bookmarkEnd w:id="39"/>
    </w:p>
    <w:p w14:paraId="426BA60E" w14:textId="12C7BAAF" w:rsidR="0019471C" w:rsidRDefault="0019471C" w:rsidP="00BC44BA">
      <w:pPr>
        <w:pStyle w:val="Heading2"/>
      </w:pPr>
      <w:bookmarkStart w:id="40" w:name="_Toc128329948"/>
      <w:r>
        <w:t>Statements of Recommendation</w:t>
      </w:r>
      <w:bookmarkEnd w:id="40"/>
    </w:p>
    <w:p w14:paraId="36CE3889" w14:textId="77777777" w:rsidR="0019471C" w:rsidRDefault="0019471C" w:rsidP="00AF10E1">
      <w:r>
        <w:t>We recommend that:</w:t>
      </w:r>
    </w:p>
    <w:p w14:paraId="205BA442" w14:textId="47104DCE" w:rsidR="0019471C" w:rsidRPr="00F330A1" w:rsidRDefault="0019471C">
      <w:pPr>
        <w:pStyle w:val="Default"/>
        <w:numPr>
          <w:ilvl w:val="0"/>
          <w:numId w:val="14"/>
        </w:numPr>
        <w:spacing w:before="240"/>
        <w:jc w:val="both"/>
        <w:rPr>
          <w:rFonts w:ascii="Calibri" w:hAnsi="Calibri" w:cs="Calibri"/>
          <w:bCs/>
          <w:sz w:val="22"/>
          <w:szCs w:val="22"/>
        </w:rPr>
      </w:pPr>
      <w:r w:rsidRPr="00F330A1">
        <w:rPr>
          <w:rFonts w:ascii="Calibri" w:hAnsi="Calibri" w:cs="Calibri"/>
          <w:bCs/>
          <w:sz w:val="22"/>
          <w:szCs w:val="22"/>
        </w:rPr>
        <w:t>All patients with a failing transplant undergo routine psychosocial screening</w:t>
      </w:r>
      <w:r w:rsidR="005C1915">
        <w:rPr>
          <w:rFonts w:ascii="Calibri" w:hAnsi="Calibri" w:cs="Calibri"/>
          <w:bCs/>
          <w:sz w:val="22"/>
          <w:szCs w:val="22"/>
        </w:rPr>
        <w:t>.</w:t>
      </w:r>
      <w:r w:rsidRPr="00F330A1">
        <w:rPr>
          <w:rFonts w:ascii="Calibri" w:hAnsi="Calibri" w:cs="Calibri"/>
          <w:bCs/>
          <w:sz w:val="22"/>
          <w:szCs w:val="22"/>
        </w:rPr>
        <w:t xml:space="preserve"> (1B)</w:t>
      </w:r>
    </w:p>
    <w:p w14:paraId="76B92C33" w14:textId="5785C382" w:rsidR="0019471C" w:rsidRPr="00F330A1" w:rsidRDefault="0019471C">
      <w:pPr>
        <w:pStyle w:val="Default"/>
        <w:numPr>
          <w:ilvl w:val="0"/>
          <w:numId w:val="14"/>
        </w:numPr>
        <w:spacing w:before="240"/>
        <w:jc w:val="both"/>
        <w:rPr>
          <w:rFonts w:ascii="Calibri" w:hAnsi="Calibri" w:cs="Calibri"/>
          <w:bCs/>
          <w:sz w:val="22"/>
          <w:szCs w:val="22"/>
        </w:rPr>
      </w:pPr>
      <w:r w:rsidRPr="00F330A1">
        <w:rPr>
          <w:rFonts w:ascii="Calibri" w:hAnsi="Calibri" w:cs="Calibri"/>
          <w:bCs/>
          <w:sz w:val="22"/>
          <w:szCs w:val="22"/>
        </w:rPr>
        <w:t>An adapted four-tier care</w:t>
      </w:r>
      <w:r w:rsidRPr="00F330A1">
        <w:rPr>
          <w:rFonts w:ascii="Calibri" w:hAnsi="Calibri" w:cs="Calibri"/>
          <w:bCs/>
          <w:i/>
          <w:iCs/>
          <w:sz w:val="22"/>
          <w:szCs w:val="22"/>
        </w:rPr>
        <w:t xml:space="preserve"> </w:t>
      </w:r>
      <w:r w:rsidRPr="00F330A1">
        <w:rPr>
          <w:rFonts w:ascii="Calibri" w:hAnsi="Calibri" w:cs="Calibri"/>
          <w:bCs/>
          <w:sz w:val="22"/>
          <w:szCs w:val="22"/>
        </w:rPr>
        <w:t xml:space="preserve">model is used for psychological assessment, </w:t>
      </w:r>
      <w:proofErr w:type="gramStart"/>
      <w:r w:rsidRPr="00F330A1">
        <w:rPr>
          <w:rFonts w:ascii="Calibri" w:hAnsi="Calibri" w:cs="Calibri"/>
          <w:bCs/>
          <w:sz w:val="22"/>
          <w:szCs w:val="22"/>
        </w:rPr>
        <w:t>support</w:t>
      </w:r>
      <w:proofErr w:type="gramEnd"/>
      <w:r w:rsidRPr="00F330A1">
        <w:rPr>
          <w:rFonts w:ascii="Calibri" w:hAnsi="Calibri" w:cs="Calibri"/>
          <w:bCs/>
          <w:sz w:val="22"/>
          <w:szCs w:val="22"/>
        </w:rPr>
        <w:t xml:space="preserve"> and intervention</w:t>
      </w:r>
      <w:r w:rsidR="005C1915">
        <w:rPr>
          <w:rFonts w:ascii="Calibri" w:hAnsi="Calibri" w:cs="Calibri"/>
          <w:bCs/>
          <w:sz w:val="22"/>
          <w:szCs w:val="22"/>
        </w:rPr>
        <w:t>.</w:t>
      </w:r>
      <w:r w:rsidRPr="00F330A1">
        <w:rPr>
          <w:rFonts w:ascii="Calibri" w:hAnsi="Calibri" w:cs="Calibri"/>
          <w:bCs/>
          <w:sz w:val="22"/>
          <w:szCs w:val="22"/>
        </w:rPr>
        <w:t xml:space="preserve"> (1B)</w:t>
      </w:r>
    </w:p>
    <w:p w14:paraId="38E19185" w14:textId="527A8870" w:rsidR="0019471C" w:rsidRPr="00AC1F9F" w:rsidRDefault="0019471C">
      <w:pPr>
        <w:pStyle w:val="Default"/>
        <w:numPr>
          <w:ilvl w:val="0"/>
          <w:numId w:val="14"/>
        </w:numPr>
        <w:spacing w:before="240"/>
        <w:jc w:val="both"/>
        <w:rPr>
          <w:rFonts w:ascii="Calibri" w:hAnsi="Calibri" w:cs="Calibri"/>
          <w:sz w:val="22"/>
          <w:szCs w:val="22"/>
        </w:rPr>
      </w:pPr>
      <w:r w:rsidRPr="00AC1F9F">
        <w:rPr>
          <w:rFonts w:ascii="Calibri" w:hAnsi="Calibri" w:cs="Calibri"/>
          <w:sz w:val="22"/>
          <w:szCs w:val="22"/>
        </w:rPr>
        <w:t xml:space="preserve">A dedicated multidisciplinary team (MDT) </w:t>
      </w:r>
      <w:r w:rsidR="0060290A">
        <w:rPr>
          <w:rFonts w:ascii="Calibri" w:hAnsi="Calibri" w:cs="Calibri"/>
          <w:sz w:val="22"/>
          <w:szCs w:val="22"/>
        </w:rPr>
        <w:t xml:space="preserve">as a </w:t>
      </w:r>
      <w:r w:rsidRPr="00AC1F9F">
        <w:rPr>
          <w:rFonts w:ascii="Calibri" w:hAnsi="Calibri" w:cs="Calibri"/>
          <w:sz w:val="22"/>
          <w:szCs w:val="22"/>
        </w:rPr>
        <w:t>transplant support clinic is available for all patients with a failing transplant</w:t>
      </w:r>
      <w:r w:rsidR="005C1915">
        <w:rPr>
          <w:rFonts w:ascii="Calibri" w:hAnsi="Calibri" w:cs="Calibri"/>
          <w:sz w:val="22"/>
          <w:szCs w:val="22"/>
        </w:rPr>
        <w:t xml:space="preserve"> (1C)</w:t>
      </w:r>
      <w:r>
        <w:rPr>
          <w:rFonts w:ascii="Calibri" w:hAnsi="Calibri" w:cs="Calibri"/>
          <w:sz w:val="22"/>
          <w:szCs w:val="22"/>
        </w:rPr>
        <w:t xml:space="preserve"> including:</w:t>
      </w:r>
      <w:r w:rsidRPr="00AC1F9F">
        <w:rPr>
          <w:rFonts w:ascii="Calibri" w:hAnsi="Calibri" w:cs="Calibri"/>
          <w:sz w:val="22"/>
          <w:szCs w:val="22"/>
        </w:rPr>
        <w:t xml:space="preserve"> </w:t>
      </w:r>
    </w:p>
    <w:p w14:paraId="409871DC" w14:textId="77777777" w:rsidR="0019471C" w:rsidRPr="00F330A1" w:rsidRDefault="0019471C" w:rsidP="0019471C">
      <w:pPr>
        <w:pStyle w:val="Default"/>
        <w:spacing w:before="240"/>
        <w:ind w:left="360"/>
        <w:jc w:val="both"/>
        <w:rPr>
          <w:rFonts w:ascii="Calibri" w:hAnsi="Calibri" w:cs="Calibri"/>
          <w:bCs/>
          <w:sz w:val="22"/>
          <w:szCs w:val="22"/>
        </w:rPr>
      </w:pPr>
      <w:r>
        <w:rPr>
          <w:rFonts w:ascii="Calibri" w:hAnsi="Calibri" w:cs="Calibri"/>
          <w:bCs/>
          <w:sz w:val="22"/>
          <w:szCs w:val="22"/>
        </w:rPr>
        <w:t>(i) A dedicated young adult transition service (1B)</w:t>
      </w:r>
    </w:p>
    <w:p w14:paraId="3354D6E5" w14:textId="77777777" w:rsidR="0019471C" w:rsidRPr="00D1197E" w:rsidRDefault="0019471C" w:rsidP="0019471C">
      <w:pPr>
        <w:pStyle w:val="Default"/>
        <w:spacing w:before="240"/>
        <w:ind w:left="360"/>
        <w:jc w:val="both"/>
        <w:rPr>
          <w:rFonts w:ascii="Calibri" w:hAnsi="Calibri" w:cs="Calibri"/>
          <w:bCs/>
          <w:sz w:val="22"/>
          <w:szCs w:val="22"/>
        </w:rPr>
      </w:pPr>
      <w:r>
        <w:rPr>
          <w:rFonts w:ascii="Calibri" w:hAnsi="Calibri" w:cs="Calibri"/>
          <w:bCs/>
          <w:sz w:val="22"/>
          <w:szCs w:val="22"/>
        </w:rPr>
        <w:t>(ii) A</w:t>
      </w:r>
      <w:r w:rsidRPr="00AC1F9F">
        <w:rPr>
          <w:rFonts w:ascii="Calibri" w:hAnsi="Calibri" w:cs="Calibri"/>
          <w:sz w:val="22"/>
          <w:szCs w:val="22"/>
        </w:rPr>
        <w:t>ccess to palliative and supportive care services</w:t>
      </w:r>
      <w:r>
        <w:rPr>
          <w:rFonts w:ascii="Calibri" w:hAnsi="Calibri" w:cs="Calibri"/>
          <w:sz w:val="22"/>
          <w:szCs w:val="22"/>
        </w:rPr>
        <w:t xml:space="preserve"> (1C)</w:t>
      </w:r>
    </w:p>
    <w:p w14:paraId="58C4DE17" w14:textId="77777777" w:rsidR="0019471C" w:rsidRPr="00D1197E" w:rsidRDefault="0019471C" w:rsidP="0019471C">
      <w:pPr>
        <w:spacing w:line="276" w:lineRule="auto"/>
      </w:pPr>
    </w:p>
    <w:p w14:paraId="3C5B07D3" w14:textId="42BD6833" w:rsidR="00AF10E1" w:rsidRDefault="00AF10E1" w:rsidP="00AF10E1">
      <w:pPr>
        <w:pStyle w:val="Heading2"/>
      </w:pPr>
      <w:bookmarkStart w:id="41" w:name="_Toc128329949"/>
      <w:r>
        <w:lastRenderedPageBreak/>
        <w:t>Rationale</w:t>
      </w:r>
      <w:bookmarkEnd w:id="41"/>
    </w:p>
    <w:p w14:paraId="0CEC5EF1" w14:textId="5C40DAEE" w:rsidR="0060290A" w:rsidRPr="0060290A" w:rsidRDefault="0019471C" w:rsidP="0060290A">
      <w:pPr>
        <w:pStyle w:val="Heading3"/>
      </w:pPr>
      <w:bookmarkStart w:id="42" w:name="_Toc128329950"/>
      <w:r w:rsidRPr="00AF10E1">
        <w:t>4.1 Introductio</w:t>
      </w:r>
      <w:r w:rsidR="0060290A">
        <w:t>n</w:t>
      </w:r>
      <w:bookmarkEnd w:id="42"/>
    </w:p>
    <w:p w14:paraId="094A081F" w14:textId="76D9BEFC" w:rsidR="0019471C" w:rsidRPr="00506646" w:rsidRDefault="0019471C" w:rsidP="0019471C">
      <w:pPr>
        <w:pStyle w:val="Default"/>
        <w:spacing w:after="160" w:line="276" w:lineRule="auto"/>
        <w:jc w:val="both"/>
        <w:rPr>
          <w:rFonts w:ascii="Calibri" w:hAnsi="Calibri" w:cs="Calibri"/>
          <w:sz w:val="22"/>
          <w:szCs w:val="22"/>
        </w:rPr>
      </w:pPr>
      <w:r w:rsidRPr="00506646">
        <w:rPr>
          <w:rFonts w:ascii="Calibri" w:hAnsi="Calibri" w:cs="Calibri"/>
          <w:sz w:val="22"/>
          <w:szCs w:val="22"/>
        </w:rPr>
        <w:t>It has been reported that following transplantation, graft loss or failure is perceived as an ever-present risk.</w:t>
      </w:r>
      <w:r w:rsidRPr="009C4059">
        <w:rPr>
          <w:rFonts w:ascii="Calibri" w:hAnsi="Calibri" w:cs="Calibri"/>
          <w:noProof/>
          <w:sz w:val="22"/>
          <w:szCs w:val="22"/>
          <w:vertAlign w:val="superscript"/>
        </w:rPr>
        <w:t>1</w:t>
      </w:r>
      <w:r>
        <w:rPr>
          <w:rFonts w:ascii="Calibri" w:hAnsi="Calibri" w:cs="Calibri"/>
          <w:sz w:val="22"/>
          <w:szCs w:val="22"/>
        </w:rPr>
        <w:t xml:space="preserve"> </w:t>
      </w:r>
      <w:r w:rsidRPr="00506646">
        <w:rPr>
          <w:rFonts w:ascii="Calibri" w:hAnsi="Calibri" w:cs="Calibri"/>
          <w:sz w:val="22"/>
          <w:szCs w:val="22"/>
        </w:rPr>
        <w:t>Transplant failure has a significant emotional impact on patients, whether it is expected or not.</w:t>
      </w:r>
      <w:r w:rsidRPr="009C4059">
        <w:rPr>
          <w:rFonts w:ascii="Calibri" w:hAnsi="Calibri" w:cs="Calibri"/>
          <w:noProof/>
          <w:sz w:val="22"/>
          <w:szCs w:val="22"/>
          <w:vertAlign w:val="superscript"/>
        </w:rPr>
        <w:t>2, 3</w:t>
      </w:r>
      <w:r w:rsidRPr="00506646">
        <w:rPr>
          <w:rFonts w:ascii="Calibri" w:hAnsi="Calibri" w:cs="Calibri"/>
          <w:sz w:val="22"/>
          <w:szCs w:val="22"/>
        </w:rPr>
        <w:t xml:space="preserve"> Emotional reactions include shock, grief, loss, anger, and depression, and these are independent of the time since transplantation.  Guilt may also be experienced, especially when the transplanted kidney was donated from a living directed or paired/pooled donor.</w:t>
      </w:r>
      <w:r w:rsidRPr="009C4059">
        <w:rPr>
          <w:rFonts w:ascii="Calibri" w:hAnsi="Calibri" w:cs="Calibri"/>
          <w:noProof/>
          <w:sz w:val="22"/>
          <w:szCs w:val="22"/>
          <w:vertAlign w:val="superscript"/>
        </w:rPr>
        <w:t>2</w:t>
      </w:r>
      <w:r>
        <w:rPr>
          <w:rFonts w:ascii="Calibri" w:hAnsi="Calibri" w:cs="Calibri"/>
          <w:sz w:val="22"/>
          <w:szCs w:val="22"/>
        </w:rPr>
        <w:t xml:space="preserve"> </w:t>
      </w:r>
      <w:r w:rsidRPr="00506646">
        <w:rPr>
          <w:rFonts w:ascii="Calibri" w:hAnsi="Calibri" w:cs="Calibri"/>
          <w:sz w:val="22"/>
          <w:szCs w:val="22"/>
        </w:rPr>
        <w:t>Patients can experience depression, anxiety and/or health anxiety associated with the perceived loss of their kidney transplant.</w:t>
      </w:r>
      <w:r w:rsidRPr="009C4059">
        <w:rPr>
          <w:rFonts w:ascii="Calibri" w:hAnsi="Calibri" w:cs="Calibri"/>
          <w:noProof/>
          <w:sz w:val="22"/>
          <w:szCs w:val="22"/>
          <w:vertAlign w:val="superscript"/>
        </w:rPr>
        <w:t>4, 5</w:t>
      </w:r>
      <w:r w:rsidRPr="00506646">
        <w:rPr>
          <w:rFonts w:ascii="Calibri" w:hAnsi="Calibri" w:cs="Calibri"/>
          <w:sz w:val="22"/>
          <w:szCs w:val="22"/>
        </w:rPr>
        <w:t xml:space="preserve"> The incidence of depression and anxiety, and risk of suicide behaviours is significantly increased in this patient group when compared to age-matched general populations.</w:t>
      </w:r>
      <w:r w:rsidRPr="009C4059">
        <w:rPr>
          <w:rFonts w:ascii="Calibri" w:hAnsi="Calibri" w:cs="Calibri"/>
          <w:noProof/>
          <w:sz w:val="22"/>
          <w:szCs w:val="22"/>
          <w:vertAlign w:val="superscript"/>
        </w:rPr>
        <w:t>6</w:t>
      </w:r>
      <w:r w:rsidRPr="00506646">
        <w:rPr>
          <w:rFonts w:ascii="Calibri" w:hAnsi="Calibri" w:cs="Calibri"/>
          <w:sz w:val="22"/>
          <w:szCs w:val="22"/>
        </w:rPr>
        <w:t xml:space="preserve">  </w:t>
      </w:r>
    </w:p>
    <w:p w14:paraId="78264B26" w14:textId="490E9BA4" w:rsidR="0019471C" w:rsidRPr="00506646" w:rsidRDefault="0019471C" w:rsidP="0019471C">
      <w:pPr>
        <w:pStyle w:val="Default"/>
        <w:spacing w:after="160" w:line="276" w:lineRule="auto"/>
        <w:jc w:val="both"/>
        <w:rPr>
          <w:rFonts w:ascii="Calibri" w:hAnsi="Calibri" w:cs="Calibri"/>
          <w:bCs/>
          <w:sz w:val="22"/>
          <w:szCs w:val="22"/>
        </w:rPr>
      </w:pPr>
      <w:r w:rsidRPr="00506646">
        <w:rPr>
          <w:rFonts w:ascii="Calibri" w:hAnsi="Calibri" w:cs="Calibri"/>
          <w:bCs/>
          <w:sz w:val="22"/>
          <w:szCs w:val="22"/>
        </w:rPr>
        <w:t>Published evidence suggests that patients have feelings of grief and loss when their transplant is failing. This is typically because of losses associated with their life with a functioning transplant and their imagined future, especially when the loss of health and circumstances are not adequately recognised, acknowledged or socially supported</w:t>
      </w:r>
      <w:r w:rsidRPr="009C4059">
        <w:rPr>
          <w:rFonts w:ascii="Calibri" w:hAnsi="Calibri" w:cs="Calibri"/>
          <w:bCs/>
          <w:sz w:val="22"/>
          <w:szCs w:val="22"/>
          <w:vertAlign w:val="superscript"/>
        </w:rPr>
        <w:t>.</w:t>
      </w:r>
      <w:r w:rsidRPr="009C4059">
        <w:rPr>
          <w:rFonts w:ascii="Calibri" w:hAnsi="Calibri" w:cs="Calibri"/>
          <w:bCs/>
          <w:noProof/>
          <w:sz w:val="22"/>
          <w:szCs w:val="22"/>
          <w:vertAlign w:val="superscript"/>
        </w:rPr>
        <w:t>7, 8</w:t>
      </w:r>
      <w:r w:rsidRPr="00506646">
        <w:rPr>
          <w:rFonts w:ascii="Calibri" w:hAnsi="Calibri" w:cs="Calibri"/>
          <w:bCs/>
          <w:sz w:val="22"/>
          <w:szCs w:val="22"/>
        </w:rPr>
        <w:t xml:space="preserve">  This is important because it can leave patients feeling that the full impact of starting or returning to dialysis is not sufficiently acknowledged by the clinical team.</w:t>
      </w:r>
      <w:r w:rsidRPr="009C4059">
        <w:rPr>
          <w:rFonts w:ascii="Calibri" w:hAnsi="Calibri" w:cs="Calibri"/>
          <w:bCs/>
          <w:noProof/>
          <w:sz w:val="22"/>
          <w:szCs w:val="22"/>
          <w:vertAlign w:val="superscript"/>
        </w:rPr>
        <w:t>3</w:t>
      </w:r>
      <w:r w:rsidRPr="00506646">
        <w:rPr>
          <w:rFonts w:ascii="Calibri" w:hAnsi="Calibri" w:cs="Calibri"/>
          <w:bCs/>
          <w:sz w:val="22"/>
          <w:szCs w:val="22"/>
        </w:rPr>
        <w:t xml:space="preserve">  A dedicated multi-disciplinary low clearance /failing transplant clinic that includes a consultant, advanced clinical nurse specialist, social worker and psychological practitioner should improve dialysis planning  and/or re-transplantation</w:t>
      </w:r>
      <w:r>
        <w:rPr>
          <w:rFonts w:ascii="Calibri" w:hAnsi="Calibri" w:cs="Calibri"/>
          <w:bCs/>
          <w:sz w:val="22"/>
          <w:szCs w:val="22"/>
        </w:rPr>
        <w:t>.</w:t>
      </w:r>
      <w:r w:rsidRPr="009C4059">
        <w:rPr>
          <w:rFonts w:ascii="Calibri" w:hAnsi="Calibri" w:cs="Calibri"/>
          <w:bCs/>
          <w:noProof/>
          <w:sz w:val="22"/>
          <w:szCs w:val="22"/>
          <w:vertAlign w:val="superscript"/>
        </w:rPr>
        <w:t>6, 9, 10</w:t>
      </w:r>
    </w:p>
    <w:p w14:paraId="701DF25A" w14:textId="30626021" w:rsidR="0019471C" w:rsidRPr="00506646" w:rsidRDefault="0019471C" w:rsidP="0019471C">
      <w:pPr>
        <w:spacing w:line="276" w:lineRule="auto"/>
        <w:jc w:val="both"/>
        <w:rPr>
          <w:rFonts w:cs="Calibri"/>
        </w:rPr>
      </w:pPr>
      <w:r w:rsidRPr="00506646">
        <w:rPr>
          <w:rFonts w:cs="Calibri"/>
          <w:bCs/>
        </w:rPr>
        <w:t>In this chapter</w:t>
      </w:r>
      <w:r w:rsidR="00236B5E">
        <w:rPr>
          <w:rFonts w:cs="Calibri"/>
          <w:bCs/>
        </w:rPr>
        <w:t>,</w:t>
      </w:r>
      <w:r w:rsidRPr="00506646">
        <w:rPr>
          <w:rFonts w:cs="Calibri"/>
          <w:bCs/>
        </w:rPr>
        <w:t xml:space="preserve"> we provide guidance on the use of psychosocial screening tools for all patients with failing kidney transplants. We also set out a </w:t>
      </w:r>
      <w:r w:rsidRPr="00506646">
        <w:rPr>
          <w:rFonts w:cs="Calibri"/>
        </w:rPr>
        <w:t>tiered care model of professional psychosocial assessment and intervention. Finally, we provide specific guidance for two discrete patient populations requiring additional psychosocial consideration, (i) young adults and (ii) patients identified for supportive and palliative care.</w:t>
      </w:r>
    </w:p>
    <w:p w14:paraId="47E76925" w14:textId="77777777" w:rsidR="0019471C" w:rsidRDefault="0019471C" w:rsidP="0019471C">
      <w:pPr>
        <w:pStyle w:val="Heading3"/>
        <w:spacing w:before="0" w:after="160" w:line="276" w:lineRule="auto"/>
      </w:pPr>
      <w:bookmarkStart w:id="43" w:name="_Toc128329951"/>
      <w:r>
        <w:t xml:space="preserve">4.2 </w:t>
      </w:r>
      <w:r w:rsidRPr="001420EA">
        <w:t xml:space="preserve">Psychosocial screening for patients with </w:t>
      </w:r>
      <w:r>
        <w:t xml:space="preserve">a </w:t>
      </w:r>
      <w:r w:rsidRPr="001420EA">
        <w:t>failing kidney</w:t>
      </w:r>
      <w:r>
        <w:t xml:space="preserve"> transplant</w:t>
      </w:r>
      <w:bookmarkEnd w:id="43"/>
      <w:r>
        <w:t xml:space="preserve"> </w:t>
      </w:r>
    </w:p>
    <w:p w14:paraId="13B9936D" w14:textId="0ED4022F" w:rsidR="0019471C" w:rsidRPr="00506646" w:rsidRDefault="005C1915" w:rsidP="0019471C">
      <w:pPr>
        <w:spacing w:line="276" w:lineRule="auto"/>
        <w:jc w:val="both"/>
        <w:rPr>
          <w:rFonts w:cs="Calibri"/>
          <w:bCs/>
          <w:color w:val="212121"/>
        </w:rPr>
      </w:pPr>
      <w:r w:rsidRPr="00506646">
        <w:rPr>
          <w:rFonts w:cs="Calibri"/>
          <w:bCs/>
        </w:rPr>
        <w:t>Several</w:t>
      </w:r>
      <w:r w:rsidR="0019471C" w:rsidRPr="00506646">
        <w:rPr>
          <w:rFonts w:cs="Calibri"/>
          <w:bCs/>
        </w:rPr>
        <w:t xml:space="preserve"> risk factors have been identified for poor psychological adjustment following kidney transplant</w:t>
      </w:r>
      <w:r>
        <w:rPr>
          <w:rFonts w:cs="Calibri"/>
          <w:bCs/>
        </w:rPr>
        <w:t>ation</w:t>
      </w:r>
      <w:r w:rsidR="0019471C" w:rsidRPr="00506646">
        <w:rPr>
          <w:rFonts w:cs="Calibri"/>
          <w:bCs/>
        </w:rPr>
        <w:t>, which lead in turn to</w:t>
      </w:r>
      <w:r w:rsidR="0019471C" w:rsidRPr="00506646">
        <w:rPr>
          <w:rFonts w:cs="Calibri"/>
          <w:bCs/>
          <w:color w:val="212121"/>
        </w:rPr>
        <w:t xml:space="preserve"> poorer transplant outcome</w:t>
      </w:r>
      <w:r w:rsidR="0019471C">
        <w:rPr>
          <w:rFonts w:cs="Calibri"/>
          <w:bCs/>
          <w:color w:val="212121"/>
        </w:rPr>
        <w:t>s</w:t>
      </w:r>
      <w:r w:rsidR="0019471C" w:rsidRPr="00506646">
        <w:rPr>
          <w:rFonts w:cs="Calibri"/>
          <w:bCs/>
        </w:rPr>
        <w:t>.</w:t>
      </w:r>
      <w:r w:rsidR="0019471C" w:rsidRPr="009C4059">
        <w:rPr>
          <w:rFonts w:cs="Calibri"/>
          <w:bCs/>
          <w:noProof/>
          <w:vertAlign w:val="superscript"/>
        </w:rPr>
        <w:t>8, 11-14</w:t>
      </w:r>
      <w:r w:rsidR="0019471C" w:rsidRPr="00506646">
        <w:rPr>
          <w:rFonts w:cs="Calibri"/>
          <w:bCs/>
        </w:rPr>
        <w:t xml:space="preserve"> These include l</w:t>
      </w:r>
      <w:r w:rsidR="0019471C" w:rsidRPr="00506646">
        <w:rPr>
          <w:rFonts w:cs="Calibri"/>
          <w:bCs/>
          <w:color w:val="212121"/>
        </w:rPr>
        <w:t xml:space="preserve">ack of social support, medication non-adherence, non-adherence to diet and hospital appointments, substance misuse/dependence, poor understanding of the process and complexities of transplant treatment, poorly controlled depression/anxiety, personality issues, and neuro-cognitive issues.  Anxiety and depression in transplant recipients are associated with medication non-adherence, sleep problems, decreased quality of life, poor marital </w:t>
      </w:r>
      <w:proofErr w:type="gramStart"/>
      <w:r w:rsidR="0019471C" w:rsidRPr="00506646">
        <w:rPr>
          <w:rFonts w:cs="Calibri"/>
          <w:bCs/>
          <w:color w:val="212121"/>
        </w:rPr>
        <w:t>relations</w:t>
      </w:r>
      <w:proofErr w:type="gramEnd"/>
      <w:r w:rsidR="0019471C" w:rsidRPr="00506646">
        <w:rPr>
          <w:rFonts w:cs="Calibri"/>
          <w:bCs/>
          <w:color w:val="212121"/>
        </w:rPr>
        <w:t xml:space="preserve"> and sexual dysfunction.</w:t>
      </w:r>
      <w:r w:rsidR="0019471C" w:rsidRPr="009C4059">
        <w:rPr>
          <w:rFonts w:cs="Calibri"/>
          <w:bCs/>
          <w:noProof/>
          <w:color w:val="212121"/>
          <w:vertAlign w:val="superscript"/>
        </w:rPr>
        <w:t>13</w:t>
      </w:r>
      <w:r w:rsidR="0019471C" w:rsidRPr="00506646">
        <w:rPr>
          <w:rFonts w:cs="Calibri"/>
          <w:bCs/>
          <w:color w:val="212121"/>
        </w:rPr>
        <w:t xml:space="preserve"> </w:t>
      </w:r>
    </w:p>
    <w:p w14:paraId="51596E0D" w14:textId="77777777" w:rsidR="0019471C" w:rsidRPr="00506646" w:rsidRDefault="0019471C" w:rsidP="0019471C">
      <w:pPr>
        <w:spacing w:line="276" w:lineRule="auto"/>
        <w:jc w:val="both"/>
        <w:rPr>
          <w:rFonts w:cs="Calibri"/>
          <w:bCs/>
        </w:rPr>
      </w:pPr>
      <w:r w:rsidRPr="00506646">
        <w:rPr>
          <w:rFonts w:cs="Calibri"/>
          <w:bCs/>
        </w:rPr>
        <w:t>Psychosocial screening for all recipients and psychosocial assessment for recipients is recommended when these risk factors are highlighted</w:t>
      </w:r>
      <w:r>
        <w:t>.</w:t>
      </w:r>
      <w:r w:rsidRPr="009C4059">
        <w:rPr>
          <w:noProof/>
          <w:vertAlign w:val="superscript"/>
        </w:rPr>
        <w:t>8, 13-17</w:t>
      </w:r>
      <w:r w:rsidRPr="00506646">
        <w:rPr>
          <w:rFonts w:cs="Calibri"/>
          <w:bCs/>
        </w:rPr>
        <w:t xml:space="preserve"> </w:t>
      </w:r>
    </w:p>
    <w:p w14:paraId="6EDFBE10" w14:textId="56A39287" w:rsidR="0019471C" w:rsidRPr="00506646" w:rsidRDefault="0019471C" w:rsidP="0019471C">
      <w:pPr>
        <w:spacing w:line="276" w:lineRule="auto"/>
        <w:rPr>
          <w:rFonts w:cs="Calibri"/>
        </w:rPr>
      </w:pPr>
      <w:r w:rsidRPr="00506646">
        <w:rPr>
          <w:rFonts w:cs="Calibri"/>
        </w:rPr>
        <w:t>In this section</w:t>
      </w:r>
      <w:r w:rsidR="00236B5E">
        <w:rPr>
          <w:rFonts w:cs="Calibri"/>
        </w:rPr>
        <w:t>,</w:t>
      </w:r>
      <w:r w:rsidRPr="00506646">
        <w:rPr>
          <w:rFonts w:cs="Calibri"/>
        </w:rPr>
        <w:t xml:space="preserve"> we set out the purpose of using psychosocial screening tools and how such tools can be used to identify psychosocial distress associated with kidney transplant failure. We recommend which screening tools to use and when to use them.  The recommended outcomes associated with screening results are described.</w:t>
      </w:r>
    </w:p>
    <w:p w14:paraId="188B67BF" w14:textId="2DC3CB33" w:rsidR="0019471C" w:rsidRPr="00EB27FD" w:rsidRDefault="0019471C" w:rsidP="0019471C">
      <w:pPr>
        <w:pStyle w:val="Heading4"/>
        <w:spacing w:before="0" w:after="160" w:line="276" w:lineRule="auto"/>
      </w:pPr>
      <w:bookmarkStart w:id="44" w:name="_Toc128329952"/>
      <w:r>
        <w:t>4.2.1</w:t>
      </w:r>
      <w:r w:rsidRPr="00EB27FD">
        <w:t xml:space="preserve"> </w:t>
      </w:r>
      <w:r w:rsidR="00D77243">
        <w:tab/>
      </w:r>
      <w:r w:rsidRPr="00EB27FD">
        <w:t>Purpose of screening</w:t>
      </w:r>
      <w:bookmarkEnd w:id="44"/>
      <w:r w:rsidRPr="00EB27FD">
        <w:t xml:space="preserve"> </w:t>
      </w:r>
    </w:p>
    <w:p w14:paraId="3717CEA6" w14:textId="77777777" w:rsidR="0019471C" w:rsidRPr="00506646" w:rsidRDefault="0019471C" w:rsidP="0019471C">
      <w:pPr>
        <w:spacing w:line="276" w:lineRule="auto"/>
        <w:rPr>
          <w:rFonts w:cs="Calibri"/>
          <w:bCs/>
        </w:rPr>
      </w:pPr>
      <w:r w:rsidRPr="00506646">
        <w:rPr>
          <w:rFonts w:cs="Calibri"/>
          <w:bCs/>
        </w:rPr>
        <w:t>Psychosocial screening is recommended for renal clinicians to:</w:t>
      </w:r>
    </w:p>
    <w:p w14:paraId="275F7BFD" w14:textId="52E376EC" w:rsidR="0019471C" w:rsidRPr="00506646" w:rsidRDefault="00BC44BA" w:rsidP="00346D2E">
      <w:pPr>
        <w:pStyle w:val="ListParagraph"/>
        <w:numPr>
          <w:ilvl w:val="0"/>
          <w:numId w:val="7"/>
        </w:numPr>
      </w:pPr>
      <w:r>
        <w:lastRenderedPageBreak/>
        <w:t>A</w:t>
      </w:r>
      <w:r w:rsidR="0019471C" w:rsidRPr="00506646">
        <w:t>cknowledge with the patient that this stage of their kidney care is challenging emotionally which can help normalise this experience</w:t>
      </w:r>
      <w:r>
        <w:t>.</w:t>
      </w:r>
    </w:p>
    <w:p w14:paraId="15246FE8" w14:textId="12BCE13A" w:rsidR="0019471C" w:rsidRPr="00506646" w:rsidRDefault="00BC44BA" w:rsidP="00346D2E">
      <w:pPr>
        <w:pStyle w:val="ListParagraph"/>
        <w:numPr>
          <w:ilvl w:val="0"/>
          <w:numId w:val="7"/>
        </w:numPr>
      </w:pPr>
      <w:r>
        <w:t>P</w:t>
      </w:r>
      <w:r w:rsidR="0019471C" w:rsidRPr="00506646">
        <w:t xml:space="preserve">rovide tailored information that helps to alleviate </w:t>
      </w:r>
      <w:r w:rsidR="00236B5E">
        <w:t xml:space="preserve">the </w:t>
      </w:r>
      <w:r w:rsidR="0019471C" w:rsidRPr="00506646">
        <w:t xml:space="preserve">patient’s experience of loss, </w:t>
      </w:r>
      <w:proofErr w:type="gramStart"/>
      <w:r w:rsidR="0019471C" w:rsidRPr="00506646">
        <w:t>grief</w:t>
      </w:r>
      <w:proofErr w:type="gramEnd"/>
      <w:r w:rsidR="0019471C" w:rsidRPr="00506646">
        <w:t xml:space="preserve"> and depression</w:t>
      </w:r>
      <w:r>
        <w:t>.</w:t>
      </w:r>
    </w:p>
    <w:p w14:paraId="31E5C656" w14:textId="198E8AA1" w:rsidR="0019471C" w:rsidRPr="00506646" w:rsidRDefault="00BC44BA" w:rsidP="00346D2E">
      <w:pPr>
        <w:pStyle w:val="ListParagraph"/>
        <w:numPr>
          <w:ilvl w:val="0"/>
          <w:numId w:val="7"/>
        </w:numPr>
      </w:pPr>
      <w:r>
        <w:t>I</w:t>
      </w:r>
      <w:r w:rsidR="0019471C" w:rsidRPr="00506646">
        <w:t>dentify risk factors, for example, self-harm and/or suicidal thoughts, avoidance of health decision making or risk-taking behaviour</w:t>
      </w:r>
      <w:r>
        <w:t>.</w:t>
      </w:r>
    </w:p>
    <w:p w14:paraId="56F6ADC7" w14:textId="4B57356C" w:rsidR="0019471C" w:rsidRPr="00EB27FD" w:rsidRDefault="0019471C" w:rsidP="0019471C">
      <w:pPr>
        <w:pStyle w:val="Heading4"/>
        <w:spacing w:before="0" w:after="160" w:line="276" w:lineRule="auto"/>
      </w:pPr>
      <w:bookmarkStart w:id="45" w:name="_Toc128329953"/>
      <w:r>
        <w:t xml:space="preserve">4.2.2 </w:t>
      </w:r>
      <w:r w:rsidR="00D77243">
        <w:tab/>
      </w:r>
      <w:r>
        <w:t>Timing of s</w:t>
      </w:r>
      <w:r w:rsidRPr="00EB27FD">
        <w:t>creening</w:t>
      </w:r>
      <w:bookmarkEnd w:id="45"/>
    </w:p>
    <w:p w14:paraId="507591A5" w14:textId="77777777" w:rsidR="0019471C" w:rsidRPr="00506646" w:rsidRDefault="0019471C" w:rsidP="0019471C">
      <w:pPr>
        <w:spacing w:line="276" w:lineRule="auto"/>
        <w:rPr>
          <w:rFonts w:cs="Calibri"/>
        </w:rPr>
      </w:pPr>
      <w:r w:rsidRPr="00506646">
        <w:rPr>
          <w:rFonts w:cs="Calibri"/>
        </w:rPr>
        <w:t>Psychosocial screening is recommended:</w:t>
      </w:r>
    </w:p>
    <w:p w14:paraId="4961456D" w14:textId="2ABB7551" w:rsidR="0019471C" w:rsidRPr="00506646" w:rsidRDefault="00BC44BA" w:rsidP="00346D2E">
      <w:pPr>
        <w:pStyle w:val="ListParagraph"/>
        <w:numPr>
          <w:ilvl w:val="0"/>
          <w:numId w:val="8"/>
        </w:numPr>
      </w:pPr>
      <w:r>
        <w:t>A</w:t>
      </w:r>
      <w:r w:rsidR="0019471C" w:rsidRPr="00506646">
        <w:t>t the first attendance to a ‘low clearance/failing transplant support clinic’</w:t>
      </w:r>
      <w:r>
        <w:t>.</w:t>
      </w:r>
    </w:p>
    <w:p w14:paraId="33B14250" w14:textId="4C0E713B" w:rsidR="0019471C" w:rsidRPr="00506646" w:rsidRDefault="00BC44BA" w:rsidP="00346D2E">
      <w:pPr>
        <w:pStyle w:val="ListParagraph"/>
        <w:numPr>
          <w:ilvl w:val="0"/>
          <w:numId w:val="8"/>
        </w:numPr>
      </w:pPr>
      <w:r>
        <w:t>A</w:t>
      </w:r>
      <w:r w:rsidR="0019471C" w:rsidRPr="00506646">
        <w:t xml:space="preserve">nnually after </w:t>
      </w:r>
      <w:r w:rsidR="00236B5E">
        <w:t xml:space="preserve">the </w:t>
      </w:r>
      <w:r w:rsidR="0019471C" w:rsidRPr="00506646">
        <w:t>first appointmen</w:t>
      </w:r>
      <w:r w:rsidR="0019471C">
        <w:t>t</w:t>
      </w:r>
      <w:r>
        <w:t>.</w:t>
      </w:r>
    </w:p>
    <w:p w14:paraId="3249B721" w14:textId="5CDC7440" w:rsidR="0019471C" w:rsidRPr="00506646" w:rsidRDefault="00BC44BA" w:rsidP="00346D2E">
      <w:pPr>
        <w:pStyle w:val="ListParagraph"/>
        <w:numPr>
          <w:ilvl w:val="0"/>
          <w:numId w:val="8"/>
        </w:numPr>
      </w:pPr>
      <w:r>
        <w:t>M</w:t>
      </w:r>
      <w:r w:rsidR="0019471C" w:rsidRPr="00506646">
        <w:t xml:space="preserve">ore frequently if there is concern about an individual patient’s psychosocial </w:t>
      </w:r>
      <w:r w:rsidR="00236B5E">
        <w:t>well-being</w:t>
      </w:r>
      <w:r>
        <w:t>.</w:t>
      </w:r>
      <w:r w:rsidR="0019471C" w:rsidRPr="00506646">
        <w:t xml:space="preserve"> </w:t>
      </w:r>
    </w:p>
    <w:p w14:paraId="51032C14" w14:textId="72DE011C" w:rsidR="0019471C" w:rsidRPr="00506646" w:rsidRDefault="00BC44BA" w:rsidP="00346D2E">
      <w:pPr>
        <w:pStyle w:val="ListParagraph"/>
        <w:numPr>
          <w:ilvl w:val="0"/>
          <w:numId w:val="8"/>
        </w:numPr>
      </w:pPr>
      <w:r>
        <w:t>W</w:t>
      </w:r>
      <w:r w:rsidR="0019471C" w:rsidRPr="00506646">
        <w:t>hen changing treatment modality, for example to dialysis/re-transplantation</w:t>
      </w:r>
      <w:r>
        <w:t>.</w:t>
      </w:r>
      <w:r w:rsidR="0019471C">
        <w:t xml:space="preserve"> </w:t>
      </w:r>
      <w:r w:rsidR="0019471C" w:rsidRPr="009C4059">
        <w:rPr>
          <w:noProof/>
          <w:vertAlign w:val="superscript"/>
        </w:rPr>
        <w:t>8, 13-17</w:t>
      </w:r>
    </w:p>
    <w:p w14:paraId="01BED2DC" w14:textId="6BA95E87" w:rsidR="0019471C" w:rsidRPr="00F86EC9" w:rsidRDefault="0019471C" w:rsidP="0019471C">
      <w:pPr>
        <w:pStyle w:val="Heading4"/>
        <w:spacing w:before="0" w:after="160" w:line="276" w:lineRule="auto"/>
      </w:pPr>
      <w:bookmarkStart w:id="46" w:name="_Toc128329954"/>
      <w:r>
        <w:t xml:space="preserve">4.2.3 </w:t>
      </w:r>
      <w:r w:rsidR="00D77243">
        <w:tab/>
      </w:r>
      <w:r>
        <w:t>Types of s</w:t>
      </w:r>
      <w:r w:rsidRPr="00F86EC9">
        <w:t>creening</w:t>
      </w:r>
      <w:bookmarkEnd w:id="46"/>
    </w:p>
    <w:p w14:paraId="10AC025D" w14:textId="01C33679" w:rsidR="0019471C" w:rsidRPr="00506646" w:rsidRDefault="0019471C" w:rsidP="0019471C">
      <w:pPr>
        <w:spacing w:line="276" w:lineRule="auto"/>
        <w:jc w:val="both"/>
        <w:rPr>
          <w:rFonts w:cs="Calibri"/>
        </w:rPr>
      </w:pPr>
      <w:r w:rsidRPr="00506646">
        <w:rPr>
          <w:rFonts w:cs="Calibri"/>
        </w:rPr>
        <w:t xml:space="preserve">It is recommended that psychosocial screening is used to identify psychosocial </w:t>
      </w:r>
      <w:r w:rsidR="00236B5E">
        <w:rPr>
          <w:rFonts w:cs="Calibri"/>
        </w:rPr>
        <w:t>well-being</w:t>
      </w:r>
      <w:r w:rsidRPr="00506646">
        <w:rPr>
          <w:rFonts w:cs="Calibri"/>
        </w:rPr>
        <w:t xml:space="preserve"> and social problems.  There are several screening and assessment tools available which are appropriate.  The recommended screening tools are:</w:t>
      </w:r>
    </w:p>
    <w:p w14:paraId="31E3655B" w14:textId="0C1A0FC8" w:rsidR="0019471C" w:rsidRPr="00280BC8" w:rsidRDefault="0019471C" w:rsidP="00346D2E">
      <w:pPr>
        <w:pStyle w:val="ListParagraph"/>
        <w:numPr>
          <w:ilvl w:val="0"/>
          <w:numId w:val="9"/>
        </w:numPr>
        <w:rPr>
          <w:lang w:val="fr-FR"/>
        </w:rPr>
      </w:pPr>
      <w:r w:rsidRPr="00280BC8">
        <w:rPr>
          <w:lang w:val="fr-FR"/>
        </w:rPr>
        <w:t xml:space="preserve">Patient Health Questionnaire 4 (PHQ4) </w:t>
      </w:r>
      <w:r w:rsidR="005C1915" w:rsidRPr="00280BC8">
        <w:rPr>
          <w:lang w:val="fr-FR"/>
        </w:rPr>
        <w:t>(appendix 4.1)</w:t>
      </w:r>
    </w:p>
    <w:p w14:paraId="7BB42E0B" w14:textId="572B324D" w:rsidR="0019471C" w:rsidRPr="00506646" w:rsidRDefault="0019471C" w:rsidP="00346D2E">
      <w:pPr>
        <w:pStyle w:val="ListParagraph"/>
        <w:numPr>
          <w:ilvl w:val="0"/>
          <w:numId w:val="9"/>
        </w:numPr>
      </w:pPr>
      <w:r w:rsidRPr="00506646">
        <w:t>Distress Thermometer (DT)</w:t>
      </w:r>
      <w:r w:rsidR="005C1915">
        <w:t xml:space="preserve"> (appendix 4.2)</w:t>
      </w:r>
    </w:p>
    <w:p w14:paraId="4A5761F8" w14:textId="6AA971CC" w:rsidR="0019471C" w:rsidRPr="00506646" w:rsidRDefault="0019471C" w:rsidP="00346D2E">
      <w:pPr>
        <w:pStyle w:val="ListParagraph"/>
        <w:numPr>
          <w:ilvl w:val="0"/>
          <w:numId w:val="9"/>
        </w:numPr>
      </w:pPr>
      <w:r w:rsidRPr="00506646">
        <w:t>Work and Social Adjustment scale (WSAS)</w:t>
      </w:r>
      <w:r w:rsidR="005C1915">
        <w:t xml:space="preserve"> (appendix 4.3)</w:t>
      </w:r>
    </w:p>
    <w:p w14:paraId="1556383E" w14:textId="61D79551" w:rsidR="0019471C" w:rsidRPr="00280BC8" w:rsidRDefault="0019471C" w:rsidP="00346D2E">
      <w:pPr>
        <w:pStyle w:val="ListParagraph"/>
        <w:numPr>
          <w:ilvl w:val="0"/>
          <w:numId w:val="9"/>
        </w:numPr>
        <w:rPr>
          <w:lang w:val="fr-FR"/>
        </w:rPr>
      </w:pPr>
      <w:r w:rsidRPr="00280BC8">
        <w:rPr>
          <w:lang w:val="fr-FR"/>
        </w:rPr>
        <w:t>Medication Adherence Report Scale 5 (MARS 5)</w:t>
      </w:r>
      <w:r w:rsidR="005C1915" w:rsidRPr="00280BC8">
        <w:rPr>
          <w:lang w:val="fr-FR"/>
        </w:rPr>
        <w:t xml:space="preserve"> (appendix 4.4)</w:t>
      </w:r>
    </w:p>
    <w:p w14:paraId="27B87180" w14:textId="7FB7907A" w:rsidR="0019471C" w:rsidRPr="00506646" w:rsidRDefault="0019471C" w:rsidP="0019471C">
      <w:pPr>
        <w:spacing w:line="276" w:lineRule="auto"/>
        <w:jc w:val="both"/>
        <w:rPr>
          <w:rFonts w:cs="Calibri"/>
          <w:bCs/>
        </w:rPr>
      </w:pPr>
      <w:r w:rsidRPr="00506646">
        <w:rPr>
          <w:rFonts w:cs="Calibri"/>
          <w:bCs/>
        </w:rPr>
        <w:t xml:space="preserve">The PHQ4 is a multiple-choice self-report screening and diagnostic tool to identify clinical depression and anxiety.   The Distress Thermometer is a widely accepted tool used in medical clinics to identify psychological distress and depression rapidly and enables quick identification of psychosocial issues causing distress.  The Work and Social Adjustment Scale (WSAS) is a reliable measure to assess impairment in functioning.  The WSAS assesses the impact of a person’s mental health difficulties on their ability to function at work, </w:t>
      </w:r>
      <w:r w:rsidR="00236B5E">
        <w:rPr>
          <w:rFonts w:cs="Calibri"/>
          <w:bCs/>
        </w:rPr>
        <w:t xml:space="preserve">at </w:t>
      </w:r>
      <w:r w:rsidRPr="00506646">
        <w:rPr>
          <w:rFonts w:cs="Calibri"/>
          <w:bCs/>
        </w:rPr>
        <w:t xml:space="preserve">home, in social and private leisure, and </w:t>
      </w:r>
      <w:r w:rsidR="00236B5E">
        <w:rPr>
          <w:rFonts w:cs="Calibri"/>
          <w:bCs/>
        </w:rPr>
        <w:t xml:space="preserve">in </w:t>
      </w:r>
      <w:r w:rsidRPr="00506646">
        <w:rPr>
          <w:rFonts w:cs="Calibri"/>
          <w:bCs/>
        </w:rPr>
        <w:t xml:space="preserve">personal or family relationships.  The MARS 5 is a </w:t>
      </w:r>
      <w:r w:rsidR="00236B5E">
        <w:rPr>
          <w:rFonts w:cs="Calibri"/>
          <w:bCs/>
        </w:rPr>
        <w:t>5-item</w:t>
      </w:r>
      <w:r w:rsidRPr="00506646">
        <w:rPr>
          <w:rFonts w:cs="Calibri"/>
          <w:bCs/>
        </w:rPr>
        <w:t xml:space="preserve"> self-report tool to measure patients’ reports of their medication use across a range of health conditions.  </w:t>
      </w:r>
    </w:p>
    <w:p w14:paraId="69E70035" w14:textId="31E1F1F7" w:rsidR="0019471C" w:rsidRPr="00F86EC9" w:rsidRDefault="0019471C" w:rsidP="0019471C">
      <w:pPr>
        <w:pStyle w:val="Heading4"/>
        <w:spacing w:before="0" w:after="160" w:line="276" w:lineRule="auto"/>
      </w:pPr>
      <w:bookmarkStart w:id="47" w:name="_Toc128329955"/>
      <w:r>
        <w:t xml:space="preserve">4.2.4 </w:t>
      </w:r>
      <w:r w:rsidR="00F00B65">
        <w:tab/>
      </w:r>
      <w:r>
        <w:t>Outcomes for s</w:t>
      </w:r>
      <w:r w:rsidRPr="00F86EC9">
        <w:t>creening results</w:t>
      </w:r>
      <w:bookmarkEnd w:id="47"/>
    </w:p>
    <w:p w14:paraId="5DFFE0BF" w14:textId="27956393" w:rsidR="0019471C" w:rsidRPr="00506646" w:rsidRDefault="0019471C" w:rsidP="0019471C">
      <w:pPr>
        <w:spacing w:line="276" w:lineRule="auto"/>
        <w:jc w:val="both"/>
        <w:rPr>
          <w:rFonts w:cs="Calibri"/>
        </w:rPr>
      </w:pPr>
      <w:r w:rsidRPr="00506646">
        <w:rPr>
          <w:rFonts w:cs="Calibri"/>
        </w:rPr>
        <w:t xml:space="preserve">There are three possible outcomes following </w:t>
      </w:r>
      <w:r w:rsidR="00236B5E">
        <w:rPr>
          <w:rFonts w:cs="Calibri"/>
        </w:rPr>
        <w:t xml:space="preserve">the </w:t>
      </w:r>
      <w:r w:rsidRPr="00506646">
        <w:rPr>
          <w:rFonts w:cs="Calibri"/>
        </w:rPr>
        <w:t xml:space="preserve">screening results: </w:t>
      </w:r>
    </w:p>
    <w:p w14:paraId="3C5DE404" w14:textId="4452E176" w:rsidR="0019471C" w:rsidRPr="00506646" w:rsidRDefault="00BC44BA" w:rsidP="00346D2E">
      <w:pPr>
        <w:pStyle w:val="ListParagraph"/>
        <w:numPr>
          <w:ilvl w:val="0"/>
          <w:numId w:val="10"/>
        </w:numPr>
      </w:pPr>
      <w:r>
        <w:t>N</w:t>
      </w:r>
      <w:r w:rsidR="0019471C" w:rsidRPr="00506646">
        <w:t>o further psychosocial support or intervention is required at this time</w:t>
      </w:r>
      <w:r>
        <w:t>.</w:t>
      </w:r>
    </w:p>
    <w:p w14:paraId="7901451E" w14:textId="6CD81267" w:rsidR="0019471C" w:rsidRDefault="00BC44BA" w:rsidP="00346D2E">
      <w:pPr>
        <w:pStyle w:val="ListParagraph"/>
        <w:numPr>
          <w:ilvl w:val="0"/>
          <w:numId w:val="10"/>
        </w:numPr>
      </w:pPr>
      <w:r>
        <w:t>R</w:t>
      </w:r>
      <w:r w:rsidR="0019471C" w:rsidRPr="00506646">
        <w:t>eferral to community support – adult social care or low-level psychological intervention</w:t>
      </w:r>
      <w:r>
        <w:t>.</w:t>
      </w:r>
    </w:p>
    <w:p w14:paraId="62E05FA1" w14:textId="42191F11" w:rsidR="00BC44BA" w:rsidRDefault="00BC44BA" w:rsidP="00346D2E">
      <w:pPr>
        <w:pStyle w:val="ListParagraph"/>
        <w:numPr>
          <w:ilvl w:val="0"/>
          <w:numId w:val="10"/>
        </w:numPr>
      </w:pPr>
      <w:r>
        <w:t xml:space="preserve">An appropriate </w:t>
      </w:r>
      <w:r w:rsidRPr="00506646">
        <w:t xml:space="preserve">psychosocial support and intervention plan is developed with the patient and a trained psychosocial colleague embedded in </w:t>
      </w:r>
      <w:r>
        <w:t xml:space="preserve">the </w:t>
      </w:r>
      <w:r w:rsidRPr="00506646">
        <w:t>renal department</w:t>
      </w:r>
      <w:r w:rsidR="00236B5E">
        <w:t xml:space="preserve"> </w:t>
      </w:r>
      <w:r w:rsidRPr="00506646">
        <w:t>or ongoing referral to mental health services/ psychiatry (see section 4.2)</w:t>
      </w:r>
      <w:r>
        <w:t>.</w:t>
      </w:r>
      <w:r w:rsidRPr="009C4059">
        <w:rPr>
          <w:noProof/>
          <w:vertAlign w:val="superscript"/>
        </w:rPr>
        <w:t>18</w:t>
      </w:r>
    </w:p>
    <w:p w14:paraId="1A15020F" w14:textId="77777777" w:rsidR="0019471C" w:rsidRDefault="0019471C" w:rsidP="0019471C">
      <w:pPr>
        <w:pStyle w:val="Heading3"/>
        <w:spacing w:before="0" w:after="160" w:line="276" w:lineRule="auto"/>
        <w:jc w:val="both"/>
      </w:pPr>
      <w:bookmarkStart w:id="48" w:name="_Toc128329956"/>
      <w:proofErr w:type="gramStart"/>
      <w:r>
        <w:lastRenderedPageBreak/>
        <w:t>4.3 Tiered</w:t>
      </w:r>
      <w:proofErr w:type="gramEnd"/>
      <w:r>
        <w:t xml:space="preserve"> Care Model of Professional Psychosocial Assessment and Intervention</w:t>
      </w:r>
      <w:bookmarkEnd w:id="48"/>
    </w:p>
    <w:p w14:paraId="67C44D58" w14:textId="22050CDD" w:rsidR="00BC44BA" w:rsidRDefault="0019471C" w:rsidP="0019471C">
      <w:pPr>
        <w:pStyle w:val="Heading4"/>
        <w:spacing w:before="0" w:after="160" w:line="276" w:lineRule="auto"/>
        <w:jc w:val="both"/>
      </w:pPr>
      <w:bookmarkStart w:id="49" w:name="_Toc128329957"/>
      <w:r>
        <w:t xml:space="preserve">4.3.1 </w:t>
      </w:r>
      <w:r w:rsidR="00D77243">
        <w:tab/>
      </w:r>
      <w:r>
        <w:t>Purpose of tiered care</w:t>
      </w:r>
      <w:bookmarkEnd w:id="49"/>
      <w:r>
        <w:t xml:space="preserve"> </w:t>
      </w:r>
      <w:bookmarkStart w:id="50" w:name="_Hlk84760818"/>
    </w:p>
    <w:p w14:paraId="32FCB41F" w14:textId="06B84F3B" w:rsidR="0019471C" w:rsidRDefault="0019471C" w:rsidP="00BC44BA">
      <w:r>
        <w:t xml:space="preserve">Patients with a failing transplant may require psychosocial support and or intervention. The purpose of this section is to: </w:t>
      </w:r>
      <w:bookmarkEnd w:id="50"/>
    </w:p>
    <w:p w14:paraId="2396C55B" w14:textId="77777777" w:rsidR="0019471C" w:rsidRDefault="0019471C" w:rsidP="0019471C">
      <w:pPr>
        <w:spacing w:line="276" w:lineRule="auto"/>
        <w:ind w:firstLine="720"/>
        <w:jc w:val="both"/>
        <w:rPr>
          <w:rFonts w:cs="Calibri"/>
        </w:rPr>
      </w:pPr>
      <w:r>
        <w:rPr>
          <w:rFonts w:cs="Calibri"/>
        </w:rPr>
        <w:t xml:space="preserve">(i) increase awareness and understanding of this requirement; and </w:t>
      </w:r>
    </w:p>
    <w:p w14:paraId="1C2AD7B2" w14:textId="1B36AB30" w:rsidR="0019471C" w:rsidRDefault="0019471C" w:rsidP="00217066">
      <w:pPr>
        <w:spacing w:line="276" w:lineRule="auto"/>
        <w:ind w:firstLine="720"/>
        <w:jc w:val="both"/>
        <w:rPr>
          <w:rFonts w:cs="Calibri"/>
        </w:rPr>
      </w:pPr>
      <w:r>
        <w:rPr>
          <w:rFonts w:cs="Calibri"/>
        </w:rPr>
        <w:t xml:space="preserve">(ii) set out a multidisciplinary approach to levels of tiered psychosocial care </w:t>
      </w:r>
    </w:p>
    <w:p w14:paraId="32A19A9C" w14:textId="397B20B3" w:rsidR="0019471C" w:rsidRDefault="0019471C" w:rsidP="0019471C">
      <w:pPr>
        <w:pStyle w:val="Heading4"/>
        <w:spacing w:before="0" w:after="160" w:line="276" w:lineRule="auto"/>
        <w:jc w:val="both"/>
      </w:pPr>
      <w:bookmarkStart w:id="51" w:name="_Toc128329958"/>
      <w:r>
        <w:t xml:space="preserve">4.3.2 </w:t>
      </w:r>
      <w:r w:rsidR="00D77243">
        <w:tab/>
      </w:r>
      <w:r>
        <w:t>Timing of tiered care</w:t>
      </w:r>
      <w:bookmarkEnd w:id="51"/>
    </w:p>
    <w:p w14:paraId="4AEFEC4A" w14:textId="268835B8" w:rsidR="00217066" w:rsidRDefault="0019471C" w:rsidP="00217066">
      <w:r>
        <w:t>Tiered psychosocial care should be provided in conjunction with psychosocial screening assessments (see section 4.2)</w:t>
      </w:r>
      <w:r w:rsidR="005C1915">
        <w:t>.</w:t>
      </w:r>
    </w:p>
    <w:p w14:paraId="7CB52F6E" w14:textId="43A24B11" w:rsidR="0019471C" w:rsidRDefault="0019471C" w:rsidP="0019471C">
      <w:pPr>
        <w:pStyle w:val="Heading4"/>
        <w:spacing w:before="0" w:after="160" w:line="276" w:lineRule="auto"/>
        <w:jc w:val="both"/>
      </w:pPr>
      <w:bookmarkStart w:id="52" w:name="_Toc128329959"/>
      <w:r>
        <w:rPr>
          <w:rFonts w:cs="Calibri"/>
        </w:rPr>
        <w:t>.</w:t>
      </w:r>
      <w:r>
        <w:t xml:space="preserve">4.3.3 </w:t>
      </w:r>
      <w:r w:rsidR="00D77243">
        <w:tab/>
      </w:r>
      <w:r>
        <w:t>Type of tiered care</w:t>
      </w:r>
      <w:bookmarkEnd w:id="52"/>
      <w:r>
        <w:t xml:space="preserve">  </w:t>
      </w:r>
    </w:p>
    <w:p w14:paraId="4DE98A38" w14:textId="74523B0A" w:rsidR="0019471C" w:rsidRDefault="0019471C" w:rsidP="0019471C">
      <w:pPr>
        <w:pStyle w:val="CommentText"/>
        <w:spacing w:after="160" w:line="276" w:lineRule="auto"/>
        <w:jc w:val="both"/>
      </w:pPr>
      <w:r>
        <w:rPr>
          <w:rFonts w:cs="Calibri"/>
          <w:sz w:val="22"/>
          <w:szCs w:val="22"/>
        </w:rPr>
        <w:t xml:space="preserve">We recommend an adapted four-tier care model of professional psychological assessment, </w:t>
      </w:r>
      <w:r w:rsidR="00BC44BA">
        <w:rPr>
          <w:rFonts w:cs="Calibri"/>
          <w:sz w:val="22"/>
          <w:szCs w:val="22"/>
        </w:rPr>
        <w:t>support,</w:t>
      </w:r>
      <w:r>
        <w:rPr>
          <w:rFonts w:cs="Calibri"/>
          <w:sz w:val="22"/>
          <w:szCs w:val="22"/>
        </w:rPr>
        <w:t xml:space="preserve"> and intervention.  This model reflects both the range and diversity of psychosocial skills provided by different professional disciplines.  The model, which is adapted from a supportive palliative cancer care guideline, is set out in Table 1 below.</w:t>
      </w:r>
      <w:r w:rsidRPr="009C4059">
        <w:rPr>
          <w:rFonts w:cs="Calibri"/>
          <w:noProof/>
          <w:sz w:val="22"/>
          <w:szCs w:val="22"/>
          <w:vertAlign w:val="superscript"/>
        </w:rPr>
        <w:t>19</w:t>
      </w:r>
    </w:p>
    <w:p w14:paraId="1368588B" w14:textId="77777777" w:rsidR="0019471C" w:rsidRDefault="0019471C" w:rsidP="0019471C">
      <w:pPr>
        <w:pStyle w:val="CommentText"/>
        <w:spacing w:after="160" w:line="276" w:lineRule="auto"/>
        <w:rPr>
          <w:rFonts w:cs="Calibri"/>
          <w:b/>
          <w:sz w:val="22"/>
          <w:szCs w:val="22"/>
        </w:rPr>
      </w:pPr>
      <w:r>
        <w:rPr>
          <w:rFonts w:cs="Calibri"/>
          <w:b/>
          <w:sz w:val="22"/>
          <w:szCs w:val="22"/>
        </w:rPr>
        <w:t xml:space="preserve">Table 1: Adapted four-tier care model of psychosocial assessment and intervention:  </w:t>
      </w:r>
    </w:p>
    <w:tbl>
      <w:tblPr>
        <w:tblW w:w="9606" w:type="dxa"/>
        <w:tblCellMar>
          <w:left w:w="10" w:type="dxa"/>
          <w:right w:w="10" w:type="dxa"/>
        </w:tblCellMar>
        <w:tblLook w:val="04A0" w:firstRow="1" w:lastRow="0" w:firstColumn="1" w:lastColumn="0" w:noHBand="0" w:noVBand="1"/>
      </w:tblPr>
      <w:tblGrid>
        <w:gridCol w:w="704"/>
        <w:gridCol w:w="3402"/>
        <w:gridCol w:w="2468"/>
        <w:gridCol w:w="3032"/>
      </w:tblGrid>
      <w:tr w:rsidR="0019471C" w:rsidRPr="00506646" w14:paraId="71D2DC22" w14:textId="77777777" w:rsidTr="009170DB">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989F0" w14:textId="77777777" w:rsidR="0019471C" w:rsidRPr="00506646" w:rsidRDefault="0019471C" w:rsidP="009170DB">
            <w:pPr>
              <w:spacing w:line="276" w:lineRule="auto"/>
              <w:rPr>
                <w:rFonts w:cs="Calibri"/>
                <w:b/>
              </w:rPr>
            </w:pPr>
            <w:r w:rsidRPr="00506646">
              <w:rPr>
                <w:rFonts w:cs="Calibri"/>
                <w:b/>
              </w:rPr>
              <w:t>Level</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D93ED" w14:textId="77777777" w:rsidR="0019471C" w:rsidRPr="00506646" w:rsidRDefault="0019471C" w:rsidP="009170DB">
            <w:pPr>
              <w:spacing w:line="276" w:lineRule="auto"/>
              <w:rPr>
                <w:rFonts w:cs="Calibri"/>
                <w:b/>
              </w:rPr>
            </w:pPr>
            <w:r w:rsidRPr="00506646">
              <w:rPr>
                <w:rFonts w:cs="Calibri"/>
                <w:b/>
              </w:rPr>
              <w:t>Group</w:t>
            </w: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B0DFD5" w14:textId="77777777" w:rsidR="0019471C" w:rsidRPr="00506646" w:rsidRDefault="0019471C" w:rsidP="009170DB">
            <w:pPr>
              <w:spacing w:line="276" w:lineRule="auto"/>
              <w:rPr>
                <w:rFonts w:cs="Calibri"/>
                <w:b/>
              </w:rPr>
            </w:pPr>
            <w:r w:rsidRPr="00506646">
              <w:rPr>
                <w:rFonts w:cs="Calibri"/>
                <w:b/>
              </w:rPr>
              <w:t>Assessment</w:t>
            </w:r>
          </w:p>
        </w:tc>
        <w:tc>
          <w:tcPr>
            <w:tcW w:w="3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87EE6E" w14:textId="77777777" w:rsidR="0019471C" w:rsidRPr="00506646" w:rsidRDefault="0019471C" w:rsidP="009170DB">
            <w:pPr>
              <w:spacing w:line="276" w:lineRule="auto"/>
              <w:rPr>
                <w:rFonts w:cs="Calibri"/>
                <w:b/>
              </w:rPr>
            </w:pPr>
            <w:r w:rsidRPr="00506646">
              <w:rPr>
                <w:rFonts w:cs="Calibri"/>
                <w:b/>
              </w:rPr>
              <w:t>Intervention</w:t>
            </w:r>
          </w:p>
        </w:tc>
      </w:tr>
      <w:tr w:rsidR="0019471C" w:rsidRPr="00506646" w14:paraId="44982765" w14:textId="77777777" w:rsidTr="009170DB">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3ECF4" w14:textId="77777777" w:rsidR="0019471C" w:rsidRPr="00506646" w:rsidRDefault="0019471C" w:rsidP="009170DB">
            <w:pPr>
              <w:spacing w:line="276" w:lineRule="auto"/>
              <w:rPr>
                <w:rFonts w:cs="Calibri"/>
              </w:rPr>
            </w:pPr>
            <w:r w:rsidRPr="00506646">
              <w:rPr>
                <w:rFonts w:cs="Calibri"/>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B615FF" w14:textId="77777777" w:rsidR="0019471C" w:rsidRPr="00506646" w:rsidRDefault="0019471C" w:rsidP="009170DB">
            <w:pPr>
              <w:spacing w:after="0" w:line="276" w:lineRule="auto"/>
              <w:rPr>
                <w:rFonts w:cs="Calibri"/>
              </w:rPr>
            </w:pPr>
            <w:r w:rsidRPr="00506646">
              <w:rPr>
                <w:rFonts w:cs="Calibri"/>
              </w:rPr>
              <w:t>All health and social care professionals</w:t>
            </w: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76AACF" w14:textId="77777777" w:rsidR="0019471C" w:rsidRPr="00506646" w:rsidRDefault="0019471C" w:rsidP="009170DB">
            <w:pPr>
              <w:spacing w:line="276" w:lineRule="auto"/>
              <w:rPr>
                <w:rFonts w:cs="Calibri"/>
              </w:rPr>
            </w:pPr>
            <w:r w:rsidRPr="00506646">
              <w:rPr>
                <w:rFonts w:cs="Calibri"/>
              </w:rPr>
              <w:t>Recognition of psychosocial/emotional needs</w:t>
            </w:r>
          </w:p>
        </w:tc>
        <w:tc>
          <w:tcPr>
            <w:tcW w:w="3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9281" w14:textId="77777777" w:rsidR="0019471C" w:rsidRPr="00506646" w:rsidRDefault="0019471C" w:rsidP="009170DB">
            <w:pPr>
              <w:spacing w:line="276" w:lineRule="auto"/>
              <w:rPr>
                <w:rFonts w:cs="Calibri"/>
              </w:rPr>
            </w:pPr>
            <w:r w:rsidRPr="00506646">
              <w:rPr>
                <w:rFonts w:cs="Calibri"/>
              </w:rPr>
              <w:t>Effective information giving, compassionate communication and general emotional support</w:t>
            </w:r>
          </w:p>
        </w:tc>
      </w:tr>
      <w:tr w:rsidR="0019471C" w:rsidRPr="00506646" w14:paraId="11FE4443" w14:textId="77777777" w:rsidTr="009170DB">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2C20F0" w14:textId="77777777" w:rsidR="0019471C" w:rsidRPr="00506646" w:rsidRDefault="0019471C" w:rsidP="009170DB">
            <w:pPr>
              <w:spacing w:line="276" w:lineRule="auto"/>
              <w:rPr>
                <w:rFonts w:cs="Calibri"/>
              </w:rPr>
            </w:pPr>
            <w:r w:rsidRPr="00506646">
              <w:rPr>
                <w:rFonts w:cs="Calibri"/>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F86975" w14:textId="77777777" w:rsidR="0019471C" w:rsidRPr="00506646" w:rsidRDefault="0019471C" w:rsidP="009170DB">
            <w:pPr>
              <w:spacing w:line="276" w:lineRule="auto"/>
              <w:rPr>
                <w:rFonts w:cs="Calibri"/>
              </w:rPr>
            </w:pPr>
            <w:r w:rsidRPr="00506646">
              <w:rPr>
                <w:rFonts w:cs="Calibri"/>
              </w:rPr>
              <w:t>Health and social care professionals with additional expertise (</w:t>
            </w:r>
            <w:proofErr w:type="gramStart"/>
            <w:r w:rsidRPr="00506646">
              <w:rPr>
                <w:rFonts w:cs="Calibri"/>
              </w:rPr>
              <w:t>e.g.</w:t>
            </w:r>
            <w:proofErr w:type="gramEnd"/>
            <w:r w:rsidRPr="00506646">
              <w:rPr>
                <w:rFonts w:cs="Calibri"/>
              </w:rPr>
              <w:t xml:space="preserve"> renal specialist nurse, doctors, allied health professionals)</w:t>
            </w: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29847" w14:textId="77777777" w:rsidR="0019471C" w:rsidRPr="00506646" w:rsidRDefault="0019471C" w:rsidP="009170DB">
            <w:pPr>
              <w:spacing w:line="276" w:lineRule="auto"/>
              <w:rPr>
                <w:rFonts w:cs="Calibri"/>
              </w:rPr>
            </w:pPr>
            <w:r w:rsidRPr="00506646">
              <w:rPr>
                <w:rFonts w:cs="Calibri"/>
              </w:rPr>
              <w:t>Person-centred screening for psychosocial distress</w:t>
            </w:r>
          </w:p>
        </w:tc>
        <w:tc>
          <w:tcPr>
            <w:tcW w:w="3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8AF6A" w14:textId="77777777" w:rsidR="0019471C" w:rsidRPr="00506646" w:rsidRDefault="0019471C" w:rsidP="009170DB">
            <w:pPr>
              <w:spacing w:line="276" w:lineRule="auto"/>
              <w:rPr>
                <w:rFonts w:cs="Calibri"/>
              </w:rPr>
            </w:pPr>
            <w:r w:rsidRPr="00506646">
              <w:rPr>
                <w:rFonts w:cs="Calibri"/>
              </w:rPr>
              <w:t xml:space="preserve">Use standardised screening tools (PHQ 4 &amp; DT) and foundation level interventions including </w:t>
            </w:r>
            <w:proofErr w:type="gramStart"/>
            <w:r w:rsidRPr="00506646">
              <w:rPr>
                <w:rFonts w:cs="Calibri"/>
              </w:rPr>
              <w:t>psycho-education</w:t>
            </w:r>
            <w:proofErr w:type="gramEnd"/>
            <w:r w:rsidRPr="00506646">
              <w:rPr>
                <w:rFonts w:cs="Calibri"/>
              </w:rPr>
              <w:t xml:space="preserve"> &amp; problem-solving/self-help interventions</w:t>
            </w:r>
          </w:p>
        </w:tc>
      </w:tr>
      <w:tr w:rsidR="0019471C" w:rsidRPr="00506646" w14:paraId="0B5F0115" w14:textId="77777777" w:rsidTr="009170DB">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D6E24" w14:textId="77777777" w:rsidR="0019471C" w:rsidRPr="00506646" w:rsidRDefault="0019471C" w:rsidP="009170DB">
            <w:pPr>
              <w:spacing w:line="276" w:lineRule="auto"/>
              <w:rPr>
                <w:rFonts w:cs="Calibri"/>
              </w:rPr>
            </w:pPr>
            <w:r w:rsidRPr="00506646">
              <w:rPr>
                <w:rFonts w:cs="Calibri"/>
              </w:rPr>
              <w:t>3</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756EF" w14:textId="77777777" w:rsidR="0019471C" w:rsidRPr="00506646" w:rsidRDefault="0019471C" w:rsidP="009170DB">
            <w:pPr>
              <w:spacing w:line="276" w:lineRule="auto"/>
              <w:rPr>
                <w:rFonts w:cs="Calibri"/>
              </w:rPr>
            </w:pPr>
            <w:r w:rsidRPr="00506646">
              <w:rPr>
                <w:rFonts w:cs="Calibri"/>
              </w:rPr>
              <w:t>Trained and accredited psychological professionals (Counsellors, Psychologists, Psychiatrist)</w:t>
            </w: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EF255" w14:textId="77777777" w:rsidR="0019471C" w:rsidRPr="00506646" w:rsidRDefault="0019471C" w:rsidP="009170DB">
            <w:pPr>
              <w:spacing w:line="276" w:lineRule="auto"/>
              <w:rPr>
                <w:rFonts w:cs="Calibri"/>
              </w:rPr>
            </w:pPr>
            <w:r w:rsidRPr="00506646">
              <w:rPr>
                <w:rFonts w:cs="Calibri"/>
              </w:rPr>
              <w:t xml:space="preserve">Assessment of psychosocial/emotional distress and triage/formulation of appropriate psychosocial intervention </w:t>
            </w:r>
          </w:p>
        </w:tc>
        <w:tc>
          <w:tcPr>
            <w:tcW w:w="3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362BF" w14:textId="77777777" w:rsidR="0019471C" w:rsidRPr="00506646" w:rsidRDefault="0019471C" w:rsidP="009170DB">
            <w:pPr>
              <w:spacing w:line="276" w:lineRule="auto"/>
              <w:rPr>
                <w:rFonts w:cs="Calibri"/>
              </w:rPr>
            </w:pPr>
            <w:r w:rsidRPr="00506646">
              <w:rPr>
                <w:rFonts w:cs="Calibri"/>
              </w:rPr>
              <w:t xml:space="preserve">Psychosocial intervention </w:t>
            </w:r>
            <w:proofErr w:type="gramStart"/>
            <w:r w:rsidRPr="00506646">
              <w:rPr>
                <w:rFonts w:cs="Calibri"/>
              </w:rPr>
              <w:t>i.e.</w:t>
            </w:r>
            <w:proofErr w:type="gramEnd"/>
            <w:r w:rsidRPr="00506646">
              <w:rPr>
                <w:rFonts w:cs="Calibri"/>
              </w:rPr>
              <w:t xml:space="preserve"> anxiety/depression, social management using psychological framework.  </w:t>
            </w:r>
          </w:p>
          <w:p w14:paraId="7470183E" w14:textId="77777777" w:rsidR="0019471C" w:rsidRPr="00506646" w:rsidRDefault="0019471C" w:rsidP="009170DB">
            <w:pPr>
              <w:spacing w:line="276" w:lineRule="auto"/>
              <w:rPr>
                <w:rFonts w:cs="Calibri"/>
              </w:rPr>
            </w:pPr>
          </w:p>
        </w:tc>
      </w:tr>
      <w:tr w:rsidR="0019471C" w:rsidRPr="00506646" w14:paraId="6AD658C5" w14:textId="77777777" w:rsidTr="009170DB">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B92E29" w14:textId="77777777" w:rsidR="0019471C" w:rsidRPr="00506646" w:rsidRDefault="0019471C" w:rsidP="009170DB">
            <w:pPr>
              <w:spacing w:line="276" w:lineRule="auto"/>
              <w:rPr>
                <w:rFonts w:cs="Calibri"/>
              </w:rPr>
            </w:pPr>
            <w:r w:rsidRPr="00506646">
              <w:rPr>
                <w:rFonts w:cs="Calibri"/>
              </w:rPr>
              <w:t>4</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CC931" w14:textId="77777777" w:rsidR="0019471C" w:rsidRPr="00506646" w:rsidRDefault="0019471C" w:rsidP="009170DB">
            <w:pPr>
              <w:spacing w:line="276" w:lineRule="auto"/>
              <w:rPr>
                <w:rFonts w:cs="Calibri"/>
              </w:rPr>
            </w:pPr>
            <w:r w:rsidRPr="00506646">
              <w:rPr>
                <w:rFonts w:cs="Calibri"/>
              </w:rPr>
              <w:t xml:space="preserve">Appropriately trained Mental health specialists with knowledge of renal &amp; transplant </w:t>
            </w:r>
            <w:proofErr w:type="gramStart"/>
            <w:r w:rsidRPr="00506646">
              <w:rPr>
                <w:rFonts w:cs="Calibri"/>
              </w:rPr>
              <w:t>including:</w:t>
            </w:r>
            <w:proofErr w:type="gramEnd"/>
            <w:r w:rsidRPr="00506646">
              <w:rPr>
                <w:rFonts w:cs="Calibri"/>
              </w:rPr>
              <w:t xml:space="preserve"> counsellors, psychologists, psychotherapists, psychiatry </w:t>
            </w:r>
          </w:p>
          <w:p w14:paraId="662F1EA9" w14:textId="77777777" w:rsidR="0019471C" w:rsidRPr="00506646" w:rsidRDefault="0019471C" w:rsidP="009170DB">
            <w:pPr>
              <w:spacing w:line="276" w:lineRule="auto"/>
              <w:rPr>
                <w:rFonts w:cs="Calibri"/>
              </w:rPr>
            </w:pPr>
            <w:r w:rsidRPr="00506646">
              <w:rPr>
                <w:rFonts w:cs="Calibri"/>
              </w:rPr>
              <w:lastRenderedPageBreak/>
              <w:t>(</w:t>
            </w:r>
            <w:proofErr w:type="gramStart"/>
            <w:r w:rsidRPr="00506646">
              <w:rPr>
                <w:rFonts w:cs="Calibri"/>
              </w:rPr>
              <w:t>embedded</w:t>
            </w:r>
            <w:proofErr w:type="gramEnd"/>
            <w:r w:rsidRPr="00506646">
              <w:rPr>
                <w:rFonts w:cs="Calibri"/>
              </w:rPr>
              <w:t xml:space="preserve"> in renal MDT)</w:t>
            </w: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82CA3" w14:textId="0279F18C" w:rsidR="0019471C" w:rsidRPr="00506646" w:rsidRDefault="0019471C" w:rsidP="009170DB">
            <w:pPr>
              <w:spacing w:line="276" w:lineRule="auto"/>
              <w:rPr>
                <w:rFonts w:cs="Calibri"/>
              </w:rPr>
            </w:pPr>
            <w:r w:rsidRPr="00506646">
              <w:rPr>
                <w:rFonts w:cs="Calibri"/>
              </w:rPr>
              <w:lastRenderedPageBreak/>
              <w:t xml:space="preserve">Assessment &amp; formulation of psychopathology specific to </w:t>
            </w:r>
            <w:r w:rsidR="00236B5E" w:rsidRPr="00506646">
              <w:rPr>
                <w:rFonts w:cs="Calibri"/>
              </w:rPr>
              <w:t xml:space="preserve">chronic kidney </w:t>
            </w:r>
            <w:proofErr w:type="gramStart"/>
            <w:r w:rsidR="00236B5E" w:rsidRPr="00506646">
              <w:rPr>
                <w:rFonts w:cs="Calibri"/>
              </w:rPr>
              <w:t xml:space="preserve">disease </w:t>
            </w:r>
            <w:r w:rsidRPr="00506646">
              <w:rPr>
                <w:rFonts w:cs="Calibri"/>
              </w:rPr>
              <w:t xml:space="preserve"> (</w:t>
            </w:r>
            <w:proofErr w:type="gramEnd"/>
            <w:r w:rsidRPr="00506646">
              <w:rPr>
                <w:rFonts w:cs="Calibri"/>
              </w:rPr>
              <w:t>CKD)</w:t>
            </w:r>
          </w:p>
        </w:tc>
        <w:tc>
          <w:tcPr>
            <w:tcW w:w="3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952AA1" w14:textId="77777777" w:rsidR="0019471C" w:rsidRPr="00506646" w:rsidRDefault="0019471C" w:rsidP="009170DB">
            <w:pPr>
              <w:spacing w:line="276" w:lineRule="auto"/>
              <w:rPr>
                <w:rFonts w:cs="Calibri"/>
              </w:rPr>
            </w:pPr>
            <w:r w:rsidRPr="00506646">
              <w:rPr>
                <w:rFonts w:cs="Calibri"/>
              </w:rPr>
              <w:t>Specialist psychological and psychiatric interventions such as advanced care planning, CBT, EMDR</w:t>
            </w:r>
          </w:p>
          <w:p w14:paraId="51912BEB" w14:textId="3EC9B2B6" w:rsidR="0019471C" w:rsidRPr="00506646" w:rsidRDefault="0019471C" w:rsidP="009170DB">
            <w:pPr>
              <w:spacing w:line="276" w:lineRule="auto"/>
              <w:rPr>
                <w:rFonts w:cs="Calibri"/>
              </w:rPr>
            </w:pPr>
            <w:r w:rsidRPr="00506646">
              <w:rPr>
                <w:rFonts w:cs="Calibri"/>
              </w:rPr>
              <w:t>(CBT</w:t>
            </w:r>
            <w:r w:rsidR="005C1915">
              <w:rPr>
                <w:rFonts w:cs="Calibri"/>
              </w:rPr>
              <w:t xml:space="preserve"> </w:t>
            </w:r>
            <w:r w:rsidRPr="00506646">
              <w:rPr>
                <w:rFonts w:cs="Calibri"/>
              </w:rPr>
              <w:t>-</w:t>
            </w:r>
            <w:r w:rsidR="005C1915">
              <w:rPr>
                <w:rFonts w:cs="Calibri"/>
              </w:rPr>
              <w:t xml:space="preserve"> </w:t>
            </w:r>
            <w:r w:rsidRPr="00506646">
              <w:rPr>
                <w:rFonts w:cs="Calibri"/>
              </w:rPr>
              <w:t>Cognitive Behavioural Therapy; EMDR</w:t>
            </w:r>
            <w:r w:rsidR="005C1915">
              <w:rPr>
                <w:rFonts w:cs="Calibri"/>
              </w:rPr>
              <w:t xml:space="preserve"> </w:t>
            </w:r>
            <w:r w:rsidRPr="00506646">
              <w:rPr>
                <w:rFonts w:cs="Calibri"/>
              </w:rPr>
              <w:t xml:space="preserve">- Eye </w:t>
            </w:r>
            <w:r w:rsidRPr="00506646">
              <w:rPr>
                <w:rFonts w:cs="Calibri"/>
              </w:rPr>
              <w:lastRenderedPageBreak/>
              <w:t>Movement Desensitisation and Reprocessing)</w:t>
            </w:r>
          </w:p>
          <w:p w14:paraId="494EB082" w14:textId="77777777" w:rsidR="0019471C" w:rsidRPr="00506646" w:rsidRDefault="0019471C" w:rsidP="009170DB">
            <w:pPr>
              <w:spacing w:line="276" w:lineRule="auto"/>
              <w:rPr>
                <w:rFonts w:cs="Calibri"/>
              </w:rPr>
            </w:pPr>
          </w:p>
        </w:tc>
      </w:tr>
    </w:tbl>
    <w:p w14:paraId="3C186CD6" w14:textId="77777777" w:rsidR="0019471C" w:rsidRDefault="0019471C" w:rsidP="0019471C">
      <w:pPr>
        <w:spacing w:line="276" w:lineRule="auto"/>
        <w:rPr>
          <w:rFonts w:cs="Calibri"/>
          <w:b/>
        </w:rPr>
      </w:pPr>
    </w:p>
    <w:p w14:paraId="10141D8B" w14:textId="77777777" w:rsidR="0019471C" w:rsidRDefault="0019471C" w:rsidP="0019471C">
      <w:pPr>
        <w:spacing w:line="276" w:lineRule="auto"/>
        <w:jc w:val="both"/>
        <w:rPr>
          <w:rFonts w:cs="Calibri"/>
          <w:b/>
        </w:rPr>
      </w:pPr>
      <w:r>
        <w:rPr>
          <w:rFonts w:cs="Calibri"/>
          <w:b/>
        </w:rPr>
        <w:t xml:space="preserve">The function of each tiered level in the adapted care model is as follows:   </w:t>
      </w:r>
    </w:p>
    <w:p w14:paraId="6EBE2221" w14:textId="77777777" w:rsidR="0019471C" w:rsidRDefault="0019471C" w:rsidP="0019471C">
      <w:pPr>
        <w:spacing w:line="276" w:lineRule="auto"/>
        <w:jc w:val="both"/>
      </w:pPr>
      <w:r>
        <w:rPr>
          <w:rFonts w:cs="Calibri"/>
          <w:b/>
        </w:rPr>
        <w:t>Level 1</w:t>
      </w:r>
      <w:r>
        <w:rPr>
          <w:rFonts w:cs="Calibri"/>
        </w:rPr>
        <w:t xml:space="preserve"> – Listening skills, empathy and understanding – providing general emotional care (preventative work).</w:t>
      </w:r>
    </w:p>
    <w:p w14:paraId="0F303484" w14:textId="77777777" w:rsidR="0019471C" w:rsidRDefault="0019471C" w:rsidP="0019471C">
      <w:pPr>
        <w:spacing w:line="276" w:lineRule="auto"/>
        <w:jc w:val="both"/>
      </w:pPr>
      <w:r>
        <w:rPr>
          <w:rFonts w:cs="Calibri"/>
          <w:b/>
        </w:rPr>
        <w:t>Level 2</w:t>
      </w:r>
      <w:r>
        <w:rPr>
          <w:rFonts w:cs="Calibri"/>
        </w:rPr>
        <w:t xml:space="preserve"> – Listening skills, empathy and identifying emotional distress through regular screening and the provision of problem-solving / patient self-help interventions and referral/signposting for specialist psychosocial intervention.</w:t>
      </w:r>
    </w:p>
    <w:p w14:paraId="475B6E6A" w14:textId="330BB5E3" w:rsidR="0019471C" w:rsidRDefault="00236B5E" w:rsidP="0019471C">
      <w:pPr>
        <w:spacing w:line="276" w:lineRule="auto"/>
        <w:jc w:val="both"/>
      </w:pPr>
      <w:r>
        <w:rPr>
          <w:rFonts w:cs="Calibri"/>
          <w:b/>
        </w:rPr>
        <w:t>Levels</w:t>
      </w:r>
      <w:r w:rsidR="0019471C">
        <w:rPr>
          <w:rFonts w:cs="Calibri"/>
          <w:b/>
        </w:rPr>
        <w:t xml:space="preserve"> 3 &amp; 4</w:t>
      </w:r>
      <w:r w:rsidR="0019471C">
        <w:rPr>
          <w:rFonts w:cs="Calibri"/>
        </w:rPr>
        <w:t xml:space="preserve"> – Listening skills, empathy, </w:t>
      </w:r>
      <w:r>
        <w:rPr>
          <w:rFonts w:cs="Calibri"/>
        </w:rPr>
        <w:t>problem-solving</w:t>
      </w:r>
      <w:r w:rsidR="0019471C">
        <w:rPr>
          <w:rFonts w:cs="Calibri"/>
        </w:rPr>
        <w:t xml:space="preserve"> interventions, and following assessment formulation and triage, provide appropriate psychosocial intervention. Therapy will be individually tailored using interventions based on evidence from psychological theory and models as applied to the context of physical health, chronic </w:t>
      </w:r>
      <w:proofErr w:type="gramStart"/>
      <w:r w:rsidR="0019471C">
        <w:rPr>
          <w:rFonts w:cs="Calibri"/>
        </w:rPr>
        <w:t>illness</w:t>
      </w:r>
      <w:proofErr w:type="gramEnd"/>
      <w:r w:rsidR="0019471C">
        <w:rPr>
          <w:rFonts w:cs="Calibri"/>
        </w:rPr>
        <w:t xml:space="preserve"> and renal disease.</w:t>
      </w:r>
      <w:r w:rsidR="0019471C" w:rsidRPr="009C4059">
        <w:rPr>
          <w:rFonts w:cs="Calibri"/>
          <w:noProof/>
          <w:vertAlign w:val="superscript"/>
        </w:rPr>
        <w:t>6</w:t>
      </w:r>
      <w:r w:rsidR="0019471C" w:rsidRPr="009C4059">
        <w:rPr>
          <w:rFonts w:cs="Calibri"/>
          <w:vertAlign w:val="superscript"/>
        </w:rPr>
        <w:t xml:space="preserve"> </w:t>
      </w:r>
    </w:p>
    <w:p w14:paraId="19A7B6C5" w14:textId="321959B3" w:rsidR="0019471C" w:rsidRDefault="0019471C" w:rsidP="0019471C">
      <w:pPr>
        <w:spacing w:line="276" w:lineRule="auto"/>
        <w:jc w:val="both"/>
      </w:pPr>
      <w:r>
        <w:rPr>
          <w:rFonts w:cs="Calibri"/>
        </w:rPr>
        <w:t xml:space="preserve">Social workers with a counselling or psychology qualification may also be working at level 3, providing interventions for patients with mild to moderate mental health problems, in the absence of embedded qualified psychological practitioners. They may provide interventions as an extension or inclusion of their role, for example counselling for grief and loss issues. However, the social </w:t>
      </w:r>
      <w:r w:rsidR="00236B5E">
        <w:rPr>
          <w:rFonts w:cs="Calibri"/>
        </w:rPr>
        <w:t>worker's</w:t>
      </w:r>
      <w:r>
        <w:rPr>
          <w:rFonts w:cs="Calibri"/>
        </w:rPr>
        <w:t xml:space="preserve"> primary point of contact is to deliver care for practical and social care issues.</w:t>
      </w:r>
      <w:r w:rsidRPr="009C4059">
        <w:rPr>
          <w:vertAlign w:val="superscript"/>
        </w:rPr>
        <w:t>6</w:t>
      </w:r>
    </w:p>
    <w:p w14:paraId="521B6A5F" w14:textId="77777777" w:rsidR="0019471C" w:rsidRDefault="0019471C" w:rsidP="0019471C">
      <w:pPr>
        <w:spacing w:line="276" w:lineRule="auto"/>
        <w:ind w:right="-613"/>
        <w:jc w:val="both"/>
      </w:pPr>
      <w:r>
        <w:rPr>
          <w:rFonts w:cs="Calibri"/>
        </w:rPr>
        <w:t>In the tiered care model set out above, only practitioners with a mental health or psychological qualification can provide level 3 &amp; 4 interventions. Professionals providing level 2 support are required to have had some training in psychological assessment and intervention and receive regular supervision by level 3 &amp; 4 practitioners.</w:t>
      </w:r>
      <w:r w:rsidRPr="009C4059">
        <w:rPr>
          <w:rFonts w:cs="Calibri"/>
          <w:noProof/>
          <w:vertAlign w:val="superscript"/>
        </w:rPr>
        <w:t>20</w:t>
      </w:r>
    </w:p>
    <w:p w14:paraId="00CCB14E" w14:textId="1F7BB5EB" w:rsidR="0019471C" w:rsidRPr="00D91DA1" w:rsidRDefault="0019471C">
      <w:pPr>
        <w:pStyle w:val="Heading3"/>
        <w:numPr>
          <w:ilvl w:val="1"/>
          <w:numId w:val="13"/>
        </w:numPr>
        <w:spacing w:before="0" w:after="160" w:line="276" w:lineRule="auto"/>
        <w:ind w:left="426"/>
      </w:pPr>
      <w:bookmarkStart w:id="53" w:name="_Toc128329960"/>
      <w:r w:rsidRPr="00D91DA1">
        <w:t xml:space="preserve">Patient populations required additional psychosocial </w:t>
      </w:r>
      <w:r w:rsidR="00C446C7" w:rsidRPr="00D91DA1">
        <w:t>consideration</w:t>
      </w:r>
      <w:bookmarkEnd w:id="53"/>
    </w:p>
    <w:p w14:paraId="47BABB4D" w14:textId="77777777" w:rsidR="0019471C" w:rsidRPr="00506646" w:rsidRDefault="0019471C" w:rsidP="0019471C">
      <w:pPr>
        <w:spacing w:line="276" w:lineRule="auto"/>
        <w:jc w:val="both"/>
        <w:rPr>
          <w:rFonts w:cs="Calibri"/>
        </w:rPr>
      </w:pPr>
      <w:r w:rsidRPr="00506646">
        <w:rPr>
          <w:rFonts w:cs="Calibri"/>
        </w:rPr>
        <w:t xml:space="preserve">Renal healthcare professionals should take additional account of two discrete patient cohorts with failing transplants who may have specific psychosocial needs: (i) young adults (aged between 16-25; and (ii) patients identified for supportive and palliative care. </w:t>
      </w:r>
    </w:p>
    <w:p w14:paraId="61B05B21" w14:textId="4574275E" w:rsidR="0019471C" w:rsidRPr="00166896" w:rsidRDefault="0019471C" w:rsidP="0019471C">
      <w:pPr>
        <w:pStyle w:val="Heading4"/>
        <w:spacing w:before="0" w:after="160" w:line="276" w:lineRule="auto"/>
      </w:pPr>
      <w:bookmarkStart w:id="54" w:name="_Toc128329961"/>
      <w:r>
        <w:t xml:space="preserve">4.4.1 </w:t>
      </w:r>
      <w:r w:rsidR="00D77243">
        <w:tab/>
      </w:r>
      <w:r>
        <w:t>Young adults</w:t>
      </w:r>
      <w:bookmarkEnd w:id="54"/>
      <w:r>
        <w:t xml:space="preserve"> </w:t>
      </w:r>
    </w:p>
    <w:p w14:paraId="45A4E458" w14:textId="1193089D" w:rsidR="0019471C" w:rsidRPr="009C4059" w:rsidRDefault="0019471C" w:rsidP="0019471C">
      <w:pPr>
        <w:spacing w:line="276" w:lineRule="auto"/>
        <w:jc w:val="both"/>
        <w:rPr>
          <w:rFonts w:cs="Calibri"/>
          <w:vertAlign w:val="superscript"/>
        </w:rPr>
      </w:pPr>
      <w:r w:rsidRPr="00506646">
        <w:rPr>
          <w:rFonts w:cs="Calibri"/>
        </w:rPr>
        <w:t>Young adults, particularly those with experience of transition between paediatric and adult services with a kidney transplant, are a high-risk patient group for graft failure.</w:t>
      </w:r>
      <w:r w:rsidRPr="009C4059">
        <w:rPr>
          <w:rFonts w:cs="Calibri"/>
          <w:noProof/>
          <w:vertAlign w:val="superscript"/>
        </w:rPr>
        <w:t>21, 22</w:t>
      </w:r>
      <w:r w:rsidRPr="00506646">
        <w:rPr>
          <w:rFonts w:cs="Calibri"/>
          <w:bCs/>
        </w:rPr>
        <w:t xml:space="preserve">  </w:t>
      </w:r>
      <w:r w:rsidRPr="00506646">
        <w:rPr>
          <w:rFonts w:cs="Calibri"/>
        </w:rPr>
        <w:t>An association with medication non-adherence behaviours have been identified as a major contributor to graft loss in this patient population</w:t>
      </w:r>
      <w:r>
        <w:t>.</w:t>
      </w:r>
      <w:r w:rsidRPr="009C4059">
        <w:rPr>
          <w:noProof/>
          <w:vertAlign w:val="superscript"/>
        </w:rPr>
        <w:t>23</w:t>
      </w:r>
      <w:r>
        <w:t xml:space="preserve">  </w:t>
      </w:r>
      <w:r w:rsidRPr="00506646">
        <w:rPr>
          <w:rFonts w:cs="Calibri"/>
        </w:rPr>
        <w:t xml:space="preserve">A </w:t>
      </w:r>
      <w:r w:rsidRPr="00506646">
        <w:rPr>
          <w:rFonts w:cs="Calibri"/>
          <w:bCs/>
        </w:rPr>
        <w:t xml:space="preserve">transition programme called ‘Ready Steady Go’, complemented by </w:t>
      </w:r>
      <w:r w:rsidRPr="00506646">
        <w:rPr>
          <w:rFonts w:cs="Calibri"/>
        </w:rPr>
        <w:t xml:space="preserve">‘Hello’ adult services, </w:t>
      </w:r>
      <w:r w:rsidRPr="00506646">
        <w:rPr>
          <w:rFonts w:cs="Calibri"/>
          <w:bCs/>
        </w:rPr>
        <w:t>a</w:t>
      </w:r>
      <w:r w:rsidRPr="00506646">
        <w:rPr>
          <w:rFonts w:cs="Calibri"/>
        </w:rPr>
        <w:t xml:space="preserve">cknowledges the aforementioned challenges by aiming to </w:t>
      </w:r>
      <w:r w:rsidRPr="00506646">
        <w:rPr>
          <w:rFonts w:cs="Calibri"/>
          <w:bCs/>
        </w:rPr>
        <w:t>‘empower’ young adults (e.g., young adult patients with generic long-term chronic illness) to take control of their lives and equipping them with the necessary skills and knowledge to manage their own healthcare confidently and successfully in early adulthood</w:t>
      </w:r>
      <w:r>
        <w:t>.</w:t>
      </w:r>
      <w:r w:rsidRPr="009C4059">
        <w:rPr>
          <w:noProof/>
          <w:vertAlign w:val="superscript"/>
        </w:rPr>
        <w:t>24, 25</w:t>
      </w:r>
      <w:r w:rsidRPr="009C4059">
        <w:rPr>
          <w:rFonts w:cs="Calibri"/>
          <w:bCs/>
          <w:vertAlign w:val="superscript"/>
        </w:rPr>
        <w:t xml:space="preserve">  </w:t>
      </w:r>
    </w:p>
    <w:p w14:paraId="61D8D843" w14:textId="6838A711" w:rsidR="0019471C" w:rsidRPr="00252DCB" w:rsidRDefault="0019471C" w:rsidP="0019471C">
      <w:pPr>
        <w:pStyle w:val="Heading5"/>
        <w:spacing w:before="0" w:after="160" w:line="276" w:lineRule="auto"/>
      </w:pPr>
      <w:bookmarkStart w:id="55" w:name="_Toc128329962"/>
      <w:r>
        <w:lastRenderedPageBreak/>
        <w:t xml:space="preserve">4.4.1.1 </w:t>
      </w:r>
      <w:r w:rsidR="00D77243">
        <w:tab/>
      </w:r>
      <w:r w:rsidR="00D77243">
        <w:tab/>
      </w:r>
      <w:r w:rsidRPr="00252DCB">
        <w:t>Purpose of additional young adult psychosocial screening and intervention</w:t>
      </w:r>
      <w:bookmarkEnd w:id="55"/>
    </w:p>
    <w:p w14:paraId="56ED6971" w14:textId="1BDB8F13" w:rsidR="0019471C" w:rsidRPr="00506646" w:rsidRDefault="00BC44BA" w:rsidP="00346D2E">
      <w:pPr>
        <w:pStyle w:val="ListParagraph"/>
        <w:numPr>
          <w:ilvl w:val="0"/>
          <w:numId w:val="11"/>
        </w:numPr>
      </w:pPr>
      <w:r>
        <w:t>T</w:t>
      </w:r>
      <w:r w:rsidR="0019471C" w:rsidRPr="00506646">
        <w:t>o provide increased vigilance and intensified psychosocial support where necessary</w:t>
      </w:r>
      <w:r>
        <w:t>.</w:t>
      </w:r>
    </w:p>
    <w:p w14:paraId="6CF2EB7D" w14:textId="6E64DE26" w:rsidR="0019471C" w:rsidRPr="00506646" w:rsidRDefault="00BC44BA" w:rsidP="00346D2E">
      <w:pPr>
        <w:pStyle w:val="ListParagraph"/>
        <w:numPr>
          <w:ilvl w:val="0"/>
          <w:numId w:val="11"/>
        </w:numPr>
      </w:pPr>
      <w:r>
        <w:t>T</w:t>
      </w:r>
      <w:r w:rsidR="0019471C" w:rsidRPr="00506646">
        <w:t xml:space="preserve">o ensure a flexible, individualised approach to account for the patients’ readiness for transition, </w:t>
      </w:r>
      <w:r w:rsidR="00236B5E">
        <w:t xml:space="preserve">the </w:t>
      </w:r>
      <w:r w:rsidR="0019471C" w:rsidRPr="00506646">
        <w:t>commencement of and preparation for RRT or re-transplantation</w:t>
      </w:r>
      <w:r>
        <w:t>.</w:t>
      </w:r>
    </w:p>
    <w:p w14:paraId="3E4119A4" w14:textId="7E5DE0C5" w:rsidR="0019471C" w:rsidRDefault="0019471C" w:rsidP="0019471C">
      <w:pPr>
        <w:pStyle w:val="Heading5"/>
        <w:spacing w:before="0" w:after="160" w:line="276" w:lineRule="auto"/>
      </w:pPr>
      <w:bookmarkStart w:id="56" w:name="_Toc128329963"/>
      <w:r>
        <w:t xml:space="preserve">4.4.1.2 </w:t>
      </w:r>
      <w:r w:rsidR="00D77243">
        <w:tab/>
      </w:r>
      <w:r w:rsidR="00D77243">
        <w:tab/>
      </w:r>
      <w:r w:rsidRPr="00F86EC9">
        <w:t xml:space="preserve">Timing of additional </w:t>
      </w:r>
      <w:r>
        <w:t xml:space="preserve">young adult </w:t>
      </w:r>
      <w:r w:rsidRPr="00F86EC9">
        <w:t>psychosocial screening and interventio</w:t>
      </w:r>
      <w:r>
        <w:t>n</w:t>
      </w:r>
      <w:bookmarkEnd w:id="56"/>
    </w:p>
    <w:p w14:paraId="675129CF" w14:textId="4CB264C3" w:rsidR="0019471C" w:rsidRPr="00506646" w:rsidRDefault="00F00B65" w:rsidP="00346D2E">
      <w:pPr>
        <w:pStyle w:val="ListParagraph"/>
        <w:numPr>
          <w:ilvl w:val="0"/>
          <w:numId w:val="11"/>
        </w:numPr>
      </w:pPr>
      <w:r>
        <w:t>As section 4.2.2</w:t>
      </w:r>
    </w:p>
    <w:p w14:paraId="2FBDE47C" w14:textId="6F80C789" w:rsidR="0019471C" w:rsidRPr="00F86EC9" w:rsidRDefault="0019471C" w:rsidP="0019471C">
      <w:pPr>
        <w:pStyle w:val="Heading5"/>
        <w:spacing w:before="0" w:after="160" w:line="276" w:lineRule="auto"/>
      </w:pPr>
      <w:bookmarkStart w:id="57" w:name="_Toc128329964"/>
      <w:r>
        <w:t xml:space="preserve">4.4.1.3 </w:t>
      </w:r>
      <w:r w:rsidR="00D77243">
        <w:tab/>
      </w:r>
      <w:r w:rsidR="00D77243">
        <w:tab/>
      </w:r>
      <w:r w:rsidRPr="00F86EC9">
        <w:t>Types of additional psychosocial screening and intervention</w:t>
      </w:r>
      <w:bookmarkEnd w:id="57"/>
    </w:p>
    <w:p w14:paraId="22F32D4F" w14:textId="77777777" w:rsidR="0019471C" w:rsidRPr="00506646" w:rsidRDefault="0019471C" w:rsidP="00346D2E">
      <w:pPr>
        <w:pStyle w:val="ListParagraph"/>
        <w:numPr>
          <w:ilvl w:val="0"/>
          <w:numId w:val="12"/>
        </w:numPr>
      </w:pPr>
      <w:r w:rsidRPr="00506646">
        <w:t>Psychosocial screening (see section 4.2)</w:t>
      </w:r>
    </w:p>
    <w:p w14:paraId="661DF561" w14:textId="77777777" w:rsidR="0019471C" w:rsidRPr="00506646" w:rsidRDefault="0019471C" w:rsidP="00346D2E">
      <w:pPr>
        <w:pStyle w:val="ListParagraph"/>
        <w:numPr>
          <w:ilvl w:val="0"/>
          <w:numId w:val="12"/>
        </w:numPr>
        <w:rPr>
          <w:iCs/>
        </w:rPr>
      </w:pPr>
      <w:r w:rsidRPr="00506646">
        <w:t xml:space="preserve">Adapted four-tier care model of professional psychological assessment, </w:t>
      </w:r>
      <w:proofErr w:type="gramStart"/>
      <w:r w:rsidRPr="00506646">
        <w:t>support</w:t>
      </w:r>
      <w:proofErr w:type="gramEnd"/>
      <w:r w:rsidRPr="00506646">
        <w:t xml:space="preserve"> and intervention (see section 4.3)</w:t>
      </w:r>
    </w:p>
    <w:p w14:paraId="265B8798" w14:textId="3A73C0D7" w:rsidR="0019471C" w:rsidRPr="00166896" w:rsidRDefault="0019471C" w:rsidP="0019471C">
      <w:pPr>
        <w:pStyle w:val="Heading4"/>
        <w:spacing w:before="0" w:after="160" w:line="276" w:lineRule="auto"/>
      </w:pPr>
      <w:bookmarkStart w:id="58" w:name="_Toc128329965"/>
      <w:r>
        <w:t xml:space="preserve">4.4.2 </w:t>
      </w:r>
      <w:r w:rsidR="00D77243">
        <w:tab/>
      </w:r>
      <w:r w:rsidRPr="00166896">
        <w:t>Patients identified for supportive and palliative care</w:t>
      </w:r>
      <w:bookmarkEnd w:id="58"/>
    </w:p>
    <w:p w14:paraId="206DA7A4" w14:textId="71C1D24C" w:rsidR="0019471C" w:rsidRPr="00506646" w:rsidRDefault="0019471C" w:rsidP="0019471C">
      <w:pPr>
        <w:spacing w:line="276" w:lineRule="auto"/>
        <w:jc w:val="both"/>
        <w:rPr>
          <w:rFonts w:cs="Calibri"/>
          <w:iCs/>
        </w:rPr>
      </w:pPr>
      <w:r w:rsidRPr="00506646">
        <w:rPr>
          <w:rFonts w:cs="Calibri"/>
        </w:rPr>
        <w:t xml:space="preserve">The impact of graft failure on psychosocial </w:t>
      </w:r>
      <w:r w:rsidR="00236B5E">
        <w:rPr>
          <w:rFonts w:cs="Calibri"/>
        </w:rPr>
        <w:t>well-being</w:t>
      </w:r>
      <w:r w:rsidRPr="00506646">
        <w:rPr>
          <w:rFonts w:cs="Calibri"/>
        </w:rPr>
        <w:t xml:space="preserve"> varies from patient to patient. There is limited data available on the psychosocial needs and intervention strategies for this patient identified for supportive and palliative care.</w:t>
      </w:r>
      <w:r w:rsidRPr="009C4059">
        <w:rPr>
          <w:rFonts w:cs="Calibri"/>
          <w:noProof/>
          <w:vertAlign w:val="superscript"/>
        </w:rPr>
        <w:t>26</w:t>
      </w:r>
      <w:r w:rsidRPr="00506646">
        <w:rPr>
          <w:rFonts w:cs="Calibri"/>
        </w:rPr>
        <w:t xml:space="preserve"> However, returning to dialysis treatment following transplant failure can be burdensome with similar psychosocial impacts to those receiving chemotherapy for advanced cancer.</w:t>
      </w:r>
      <w:r w:rsidRPr="009C4059">
        <w:rPr>
          <w:rFonts w:cs="Calibri"/>
          <w:noProof/>
          <w:vertAlign w:val="superscript"/>
        </w:rPr>
        <w:t>27</w:t>
      </w:r>
      <w:r w:rsidRPr="00506646">
        <w:rPr>
          <w:rFonts w:cs="Calibri"/>
        </w:rPr>
        <w:t xml:space="preserve"> For this and other reasons, some patients chose not to re-initiate treatment with dialysis and instead request conservative care.  Patients experiencing graft failure should have the opportunity to benefit from palliative and supportive care (see Conservative Care Section).  There is recognition that the integration of supportive and palliative care services in renal care has a positive impact on patients' illness trajectories.</w:t>
      </w:r>
      <w:r w:rsidRPr="009C4059">
        <w:rPr>
          <w:rFonts w:cs="Calibri"/>
          <w:noProof/>
          <w:vertAlign w:val="superscript"/>
        </w:rPr>
        <w:t>26, 28</w:t>
      </w:r>
      <w:r w:rsidRPr="00506646">
        <w:rPr>
          <w:rFonts w:cs="Calibri"/>
        </w:rPr>
        <w:t xml:space="preserve"> </w:t>
      </w:r>
      <w:r w:rsidRPr="00506646">
        <w:rPr>
          <w:rFonts w:cs="Calibri"/>
          <w:shd w:val="clear" w:color="auto" w:fill="FFFFFF"/>
        </w:rPr>
        <w:t>(See</w:t>
      </w:r>
      <w:r w:rsidRPr="00506646">
        <w:rPr>
          <w:rFonts w:cs="Calibri"/>
        </w:rPr>
        <w:t xml:space="preserve"> psychological assessment in renal palliative care under </w:t>
      </w:r>
      <w:r w:rsidRPr="00506646">
        <w:rPr>
          <w:rFonts w:cs="Calibri"/>
          <w:bCs/>
          <w:i/>
        </w:rPr>
        <w:t>‘Section 4.4.2: Psychosocial Screening for Patients with Failing Kidney Transplant - Timing of Screening’)</w:t>
      </w:r>
      <w:r>
        <w:rPr>
          <w:rFonts w:cs="Calibri"/>
          <w:bCs/>
          <w:i/>
        </w:rPr>
        <w:t>.</w:t>
      </w:r>
    </w:p>
    <w:p w14:paraId="29C4F4C1" w14:textId="43C0CDB5" w:rsidR="0019471C" w:rsidRPr="00F86EC9" w:rsidRDefault="0019471C" w:rsidP="0019471C">
      <w:pPr>
        <w:pStyle w:val="Heading5"/>
        <w:spacing w:before="0" w:after="160" w:line="276" w:lineRule="auto"/>
      </w:pPr>
      <w:bookmarkStart w:id="59" w:name="_Toc128329966"/>
      <w:r>
        <w:t xml:space="preserve">4.4.2.1 </w:t>
      </w:r>
      <w:r w:rsidR="00D77243">
        <w:tab/>
      </w:r>
      <w:r w:rsidR="00D77243">
        <w:tab/>
      </w:r>
      <w:r>
        <w:t>Purpose of supportive/palliative care psychosocial screening/intervention</w:t>
      </w:r>
      <w:bookmarkEnd w:id="59"/>
      <w:r>
        <w:t xml:space="preserve"> </w:t>
      </w:r>
    </w:p>
    <w:p w14:paraId="03EE501B" w14:textId="68802C07" w:rsidR="0019471C" w:rsidRPr="00514677" w:rsidRDefault="0019471C" w:rsidP="00346D2E">
      <w:pPr>
        <w:pStyle w:val="ListParagraph"/>
        <w:numPr>
          <w:ilvl w:val="0"/>
          <w:numId w:val="64"/>
        </w:numPr>
        <w:rPr>
          <w:b/>
        </w:rPr>
      </w:pPr>
      <w:r w:rsidRPr="00506646">
        <w:t>To provide an in-depth holistic approach to psychosocial intervention for patients requiring supportive and palliative care with a failing kidney transplant</w:t>
      </w:r>
      <w:r w:rsidR="00BC44BA">
        <w:t>.</w:t>
      </w:r>
    </w:p>
    <w:p w14:paraId="6883D3EE" w14:textId="1825F38B" w:rsidR="0019471C" w:rsidRPr="00514677" w:rsidRDefault="0019471C" w:rsidP="00346D2E">
      <w:pPr>
        <w:pStyle w:val="ListParagraph"/>
        <w:numPr>
          <w:ilvl w:val="0"/>
          <w:numId w:val="64"/>
        </w:numPr>
        <w:rPr>
          <w:b/>
        </w:rPr>
      </w:pPr>
      <w:r w:rsidRPr="00506646">
        <w:t>Onward referral with the individual’s consent to conservative management team/nurse practitioner/ hospice introduction</w:t>
      </w:r>
      <w:r w:rsidR="00BC44BA">
        <w:t>.</w:t>
      </w:r>
    </w:p>
    <w:p w14:paraId="24662D2D" w14:textId="65A673E3" w:rsidR="0019471C" w:rsidRPr="00F86EC9" w:rsidRDefault="0019471C" w:rsidP="0019471C">
      <w:pPr>
        <w:pStyle w:val="Heading5"/>
        <w:spacing w:before="0" w:after="160" w:line="276" w:lineRule="auto"/>
      </w:pPr>
      <w:bookmarkStart w:id="60" w:name="_Toc128329967"/>
      <w:r>
        <w:t xml:space="preserve">4.4.2.2 </w:t>
      </w:r>
      <w:r w:rsidR="00D77243">
        <w:tab/>
      </w:r>
      <w:r w:rsidR="00D77243">
        <w:tab/>
      </w:r>
      <w:r w:rsidRPr="00F86EC9">
        <w:t xml:space="preserve">Timing of </w:t>
      </w:r>
      <w:r>
        <w:t xml:space="preserve">supportive/palliative </w:t>
      </w:r>
      <w:r w:rsidRPr="00F86EC9">
        <w:t>psychosocial screening/</w:t>
      </w:r>
      <w:r>
        <w:t>intervention</w:t>
      </w:r>
      <w:bookmarkEnd w:id="60"/>
      <w:r w:rsidRPr="00F86EC9">
        <w:t xml:space="preserve"> </w:t>
      </w:r>
    </w:p>
    <w:p w14:paraId="7CEB1152" w14:textId="70E7B987" w:rsidR="0019471C" w:rsidRPr="00506646" w:rsidRDefault="00F00B65" w:rsidP="00346D2E">
      <w:pPr>
        <w:pStyle w:val="ListParagraph"/>
        <w:numPr>
          <w:ilvl w:val="0"/>
          <w:numId w:val="12"/>
        </w:numPr>
        <w:rPr>
          <w:b/>
        </w:rPr>
      </w:pPr>
      <w:r>
        <w:t>As section 4.2.2</w:t>
      </w:r>
    </w:p>
    <w:p w14:paraId="61046B9A" w14:textId="6D4A6451" w:rsidR="0019471C" w:rsidRPr="00F86EC9" w:rsidRDefault="0019471C" w:rsidP="0019471C">
      <w:pPr>
        <w:pStyle w:val="Heading5"/>
        <w:spacing w:before="0" w:after="160" w:line="276" w:lineRule="auto"/>
      </w:pPr>
      <w:bookmarkStart w:id="61" w:name="_Toc128329968"/>
      <w:r>
        <w:t xml:space="preserve">4.4.2.3 </w:t>
      </w:r>
      <w:r w:rsidR="00D77243">
        <w:tab/>
      </w:r>
      <w:r w:rsidR="00D77243">
        <w:tab/>
      </w:r>
      <w:r w:rsidRPr="00F86EC9">
        <w:t xml:space="preserve">Types of additional </w:t>
      </w:r>
      <w:r>
        <w:t>supportive/palliative</w:t>
      </w:r>
      <w:r w:rsidR="00C446C7">
        <w:t xml:space="preserve"> care</w:t>
      </w:r>
      <w:bookmarkEnd w:id="61"/>
      <w:r>
        <w:t xml:space="preserve"> </w:t>
      </w:r>
    </w:p>
    <w:p w14:paraId="01A0D3AF" w14:textId="560E8B70" w:rsidR="0019471C" w:rsidRPr="00506646" w:rsidRDefault="0019471C" w:rsidP="00346D2E">
      <w:pPr>
        <w:pStyle w:val="ListParagraph"/>
        <w:numPr>
          <w:ilvl w:val="0"/>
          <w:numId w:val="12"/>
        </w:numPr>
      </w:pPr>
      <w:r w:rsidRPr="00506646">
        <w:t xml:space="preserve">Psychosocial screening. See </w:t>
      </w:r>
      <w:r w:rsidR="00F00B65">
        <w:t>s</w:t>
      </w:r>
      <w:r w:rsidRPr="00506646">
        <w:t xml:space="preserve">ection </w:t>
      </w:r>
      <w:r w:rsidR="00F00B65">
        <w:t>4.</w:t>
      </w:r>
      <w:r w:rsidRPr="00506646">
        <w:t>1</w:t>
      </w:r>
      <w:r w:rsidR="00BC44BA">
        <w:t>.</w:t>
      </w:r>
    </w:p>
    <w:p w14:paraId="11E580CC" w14:textId="58B30B1B" w:rsidR="0019471C" w:rsidRPr="00506646" w:rsidRDefault="0019471C" w:rsidP="00346D2E">
      <w:pPr>
        <w:pStyle w:val="ListParagraph"/>
        <w:numPr>
          <w:ilvl w:val="0"/>
          <w:numId w:val="12"/>
        </w:numPr>
        <w:rPr>
          <w:iCs/>
        </w:rPr>
      </w:pPr>
      <w:r w:rsidRPr="00506646">
        <w:t xml:space="preserve">Adapted four-tier care model of professional psychological assessment, </w:t>
      </w:r>
      <w:proofErr w:type="gramStart"/>
      <w:r w:rsidRPr="00506646">
        <w:t>support</w:t>
      </w:r>
      <w:proofErr w:type="gramEnd"/>
      <w:r w:rsidRPr="00506646">
        <w:t xml:space="preserve"> and intervention. See </w:t>
      </w:r>
      <w:r w:rsidR="00F00B65">
        <w:t>s</w:t>
      </w:r>
      <w:r w:rsidRPr="00506646">
        <w:t xml:space="preserve">ection </w:t>
      </w:r>
      <w:r w:rsidR="00F00B65">
        <w:t>4.</w:t>
      </w:r>
      <w:r w:rsidRPr="00506646">
        <w:t>2</w:t>
      </w:r>
      <w:r w:rsidR="00BC44BA">
        <w:t>.</w:t>
      </w:r>
    </w:p>
    <w:p w14:paraId="2C8AC9A2" w14:textId="5C60A39E" w:rsidR="0019471C" w:rsidRPr="00506646" w:rsidRDefault="0019471C" w:rsidP="00346D2E">
      <w:pPr>
        <w:pStyle w:val="ListParagraph"/>
        <w:numPr>
          <w:ilvl w:val="0"/>
          <w:numId w:val="12"/>
        </w:numPr>
      </w:pPr>
      <w:r w:rsidRPr="00506646">
        <w:t>Additional areas of intervention may include onward referral to specialist palliative care services and complementary therapy services</w:t>
      </w:r>
      <w:r w:rsidR="00BC44BA">
        <w:t>.</w:t>
      </w:r>
    </w:p>
    <w:p w14:paraId="1630027B" w14:textId="43CF3CAD" w:rsidR="0019471C" w:rsidRPr="00C80FA4" w:rsidRDefault="0019471C" w:rsidP="0019471C">
      <w:pPr>
        <w:pStyle w:val="Heading2"/>
      </w:pPr>
      <w:bookmarkStart w:id="62" w:name="_Toc128329969"/>
      <w:r>
        <w:t>R</w:t>
      </w:r>
      <w:r w:rsidR="00AF10E1">
        <w:t>eferences</w:t>
      </w:r>
      <w:bookmarkEnd w:id="62"/>
    </w:p>
    <w:p w14:paraId="4ADBD56A" w14:textId="390EBE88" w:rsidR="0019471C" w:rsidRPr="009C4059" w:rsidRDefault="0019471C" w:rsidP="00217066">
      <w:pPr>
        <w:pStyle w:val="EndNoteBibliography"/>
        <w:spacing w:after="0" w:line="276" w:lineRule="auto"/>
      </w:pPr>
      <w:r w:rsidRPr="009C4059">
        <w:t>1.</w:t>
      </w:r>
      <w:r w:rsidRPr="009C4059">
        <w:tab/>
        <w:t>Boaz A, Morgan M. Working to establish ‘normality’</w:t>
      </w:r>
      <w:r w:rsidR="003C33E1">
        <w:t xml:space="preserve"> </w:t>
      </w:r>
      <w:r w:rsidRPr="009C4059">
        <w:t>post-transplant: a qualitative study of kidney transplant patients. Chronic Illness. 2014;10(4):247-58.</w:t>
      </w:r>
    </w:p>
    <w:p w14:paraId="6E972E34" w14:textId="77777777" w:rsidR="0019471C" w:rsidRPr="009C4059" w:rsidRDefault="0019471C" w:rsidP="00217066">
      <w:pPr>
        <w:pStyle w:val="EndNoteBibliography"/>
        <w:spacing w:after="0" w:line="276" w:lineRule="auto"/>
      </w:pPr>
      <w:r w:rsidRPr="009C4059">
        <w:lastRenderedPageBreak/>
        <w:t>2.</w:t>
      </w:r>
      <w:r w:rsidRPr="009C4059">
        <w:tab/>
        <w:t>Gill P, Lowes L. Renal transplant failure and disenfranchised grief: Participants' experiences in the first year post-graft failure–a qualitative longitudinal study. International Journal of Nursing Studies. 2014;51(9):1271-80.</w:t>
      </w:r>
    </w:p>
    <w:p w14:paraId="38D473E8" w14:textId="77777777" w:rsidR="0019471C" w:rsidRPr="009C4059" w:rsidRDefault="0019471C" w:rsidP="00217066">
      <w:pPr>
        <w:pStyle w:val="EndNoteBibliography"/>
        <w:spacing w:after="0" w:line="276" w:lineRule="auto"/>
      </w:pPr>
      <w:r w:rsidRPr="009C4059">
        <w:t>3.</w:t>
      </w:r>
      <w:r w:rsidRPr="009C4059">
        <w:tab/>
        <w:t>Rao PS, Nunes JW. Renal transplant failure has a devastating impact requiring greater recognition and support. Evidence-based nursing. 2015;18(3):78-.</w:t>
      </w:r>
    </w:p>
    <w:p w14:paraId="496F5E3A" w14:textId="77777777" w:rsidR="0019471C" w:rsidRPr="009C4059" w:rsidRDefault="0019471C" w:rsidP="00217066">
      <w:pPr>
        <w:pStyle w:val="EndNoteBibliography"/>
        <w:spacing w:after="0" w:line="276" w:lineRule="auto"/>
      </w:pPr>
      <w:r w:rsidRPr="009C4059">
        <w:t>4.</w:t>
      </w:r>
      <w:r w:rsidRPr="009C4059">
        <w:tab/>
        <w:t>Szeifert L, Molnar MZ, Ambrus C, Koczy AB, Kovacs AZ, Vamos EP, et al. Symptoms of depression in kidney transplant recipients: a cross-sectional study. American Journal of Kidney Diseases. 2010;55(1):132-40.</w:t>
      </w:r>
    </w:p>
    <w:p w14:paraId="507EB3D5" w14:textId="77777777" w:rsidR="0019471C" w:rsidRPr="009C4059" w:rsidRDefault="0019471C" w:rsidP="00217066">
      <w:pPr>
        <w:pStyle w:val="EndNoteBibliography"/>
        <w:spacing w:after="0" w:line="276" w:lineRule="auto"/>
      </w:pPr>
      <w:r w:rsidRPr="009C4059">
        <w:t>5.</w:t>
      </w:r>
      <w:r w:rsidRPr="009C4059">
        <w:tab/>
        <w:t>Perez-San-Gregorio M, Martin-Rodriguez A, Diaz-Dominguez R, Pérez-Bernal J, editors. The influence of posttransplant anxiety on the long-term health of patients. Transplantation Proceedings; 2006: Elsevier.</w:t>
      </w:r>
    </w:p>
    <w:p w14:paraId="27C5C746" w14:textId="77777777" w:rsidR="0019471C" w:rsidRPr="009C4059" w:rsidRDefault="0019471C" w:rsidP="00217066">
      <w:pPr>
        <w:pStyle w:val="EndNoteBibliography"/>
        <w:spacing w:after="0" w:line="276" w:lineRule="auto"/>
      </w:pPr>
      <w:r w:rsidRPr="009C4059">
        <w:t>6.</w:t>
      </w:r>
      <w:r w:rsidRPr="009C4059">
        <w:tab/>
        <w:t>BRS. A multi-professional renal workforce plan for adults and children with kidney disease. British Renal Society; 2020.</w:t>
      </w:r>
    </w:p>
    <w:p w14:paraId="697A9A8D" w14:textId="77777777" w:rsidR="0019471C" w:rsidRPr="00280BC8" w:rsidRDefault="0019471C" w:rsidP="00217066">
      <w:pPr>
        <w:pStyle w:val="EndNoteBibliography"/>
        <w:spacing w:after="0" w:line="276" w:lineRule="auto"/>
        <w:rPr>
          <w:lang w:val="it-IT"/>
        </w:rPr>
      </w:pPr>
      <w:r w:rsidRPr="009C4059">
        <w:t>7.</w:t>
      </w:r>
      <w:r w:rsidRPr="009C4059">
        <w:tab/>
        <w:t xml:space="preserve">Gill P, Lowes L. The kidney transplant failure experience: a longitudinal case study. </w:t>
      </w:r>
      <w:r w:rsidRPr="00280BC8">
        <w:rPr>
          <w:lang w:val="it-IT"/>
        </w:rPr>
        <w:t>Progress in transplantation. 2009;19(2):114-21.</w:t>
      </w:r>
    </w:p>
    <w:p w14:paraId="1F87F010" w14:textId="77777777" w:rsidR="0019471C" w:rsidRPr="009C4059" w:rsidRDefault="0019471C" w:rsidP="00217066">
      <w:pPr>
        <w:pStyle w:val="EndNoteBibliography"/>
        <w:spacing w:after="0" w:line="276" w:lineRule="auto"/>
      </w:pPr>
      <w:r w:rsidRPr="00280BC8">
        <w:rPr>
          <w:lang w:val="it-IT"/>
        </w:rPr>
        <w:t>8.</w:t>
      </w:r>
      <w:r w:rsidRPr="00280BC8">
        <w:rPr>
          <w:lang w:val="it-IT"/>
        </w:rPr>
        <w:tab/>
        <w:t xml:space="preserve">De Pasquale C, Pistorio ML, Veroux M, Indelicato L, Biffa G, Bennardi N, et al. </w:t>
      </w:r>
      <w:r w:rsidRPr="009C4059">
        <w:t>Psychological and psychopathological aspects of kidney transplantation: a systematic review. Frontiers in psychiatry. 2020;11:106.</w:t>
      </w:r>
    </w:p>
    <w:p w14:paraId="3D114B50" w14:textId="77777777" w:rsidR="0019471C" w:rsidRPr="009C4059" w:rsidRDefault="0019471C" w:rsidP="00217066">
      <w:pPr>
        <w:pStyle w:val="EndNoteBibliography"/>
        <w:spacing w:after="0" w:line="276" w:lineRule="auto"/>
      </w:pPr>
      <w:r w:rsidRPr="009C4059">
        <w:t>9.</w:t>
      </w:r>
      <w:r w:rsidRPr="009C4059">
        <w:tab/>
        <w:t>Lubetzky M, Tantisattamo E, Molnar MZ, Lentine KL, Basu A, Parsons RF, et al. The failing kidney allograft: A review and recommendations for the care and management of a complex group of patients. American Journal of Transplantation. 2021;21(9):2937-49.</w:t>
      </w:r>
    </w:p>
    <w:p w14:paraId="5B830A10" w14:textId="77777777" w:rsidR="0019471C" w:rsidRPr="009C4059" w:rsidRDefault="0019471C" w:rsidP="00217066">
      <w:pPr>
        <w:pStyle w:val="EndNoteBibliography"/>
        <w:spacing w:after="0" w:line="276" w:lineRule="auto"/>
      </w:pPr>
      <w:r w:rsidRPr="009C4059">
        <w:t>10.</w:t>
      </w:r>
      <w:r w:rsidRPr="009C4059">
        <w:tab/>
        <w:t>Agrawal N, Pavlakis M. Caring for the patient with a failing allograft: challenges and opportunities. Current Opinion in Organ Transplantation. 2019;24(4):416-23.</w:t>
      </w:r>
    </w:p>
    <w:p w14:paraId="4D25E506" w14:textId="77777777" w:rsidR="0019471C" w:rsidRPr="009C4059" w:rsidRDefault="0019471C" w:rsidP="00217066">
      <w:pPr>
        <w:pStyle w:val="EndNoteBibliography"/>
        <w:spacing w:after="0" w:line="276" w:lineRule="auto"/>
      </w:pPr>
      <w:r w:rsidRPr="009C4059">
        <w:t>11.</w:t>
      </w:r>
      <w:r w:rsidRPr="009C4059">
        <w:tab/>
        <w:t>Dobbels F, Skeans MA, Snyder JJ, Tuomari AV, Maclean JR, Kasiske BL. Depressive disorder in renal transplantation: an analysis of Medicare claims. American journal of kidney diseases. 2008;51(5):819-28.</w:t>
      </w:r>
    </w:p>
    <w:p w14:paraId="41CFEF85" w14:textId="77777777" w:rsidR="0019471C" w:rsidRPr="009C4059" w:rsidRDefault="0019471C" w:rsidP="00217066">
      <w:pPr>
        <w:pStyle w:val="EndNoteBibliography"/>
        <w:spacing w:after="0" w:line="276" w:lineRule="auto"/>
      </w:pPr>
      <w:r w:rsidRPr="009C4059">
        <w:t>12.</w:t>
      </w:r>
      <w:r w:rsidRPr="009C4059">
        <w:tab/>
        <w:t>Olbrisch ME, Benedict SM, Ashe K, Levenson JL. Psychological assessment and care of organ transplant patients. Journal of consulting and clinical psychology. 2002;70(3):771.</w:t>
      </w:r>
    </w:p>
    <w:p w14:paraId="6124A113" w14:textId="77777777" w:rsidR="0019471C" w:rsidRPr="009C4059" w:rsidRDefault="0019471C" w:rsidP="00217066">
      <w:pPr>
        <w:pStyle w:val="EndNoteBibliography"/>
        <w:spacing w:after="0" w:line="276" w:lineRule="auto"/>
      </w:pPr>
      <w:r w:rsidRPr="009C4059">
        <w:t>13.</w:t>
      </w:r>
      <w:r w:rsidRPr="009C4059">
        <w:tab/>
        <w:t>KDIGO. Improving global outcomes (KDIGO) transplant work group. KDIGO clinical practice guideline for the care of kidney transplant recipients. Am J Transplant. 2009;9(Suppl 3):S1-155.</w:t>
      </w:r>
    </w:p>
    <w:p w14:paraId="554434FC" w14:textId="77777777" w:rsidR="0019471C" w:rsidRPr="009C4059" w:rsidRDefault="0019471C" w:rsidP="00217066">
      <w:pPr>
        <w:pStyle w:val="EndNoteBibliography"/>
        <w:spacing w:after="0" w:line="276" w:lineRule="auto"/>
      </w:pPr>
      <w:r w:rsidRPr="009C4059">
        <w:t>14.</w:t>
      </w:r>
      <w:r w:rsidRPr="009C4059">
        <w:tab/>
        <w:t>Chadban SJ, Ahn C, Axelrod DA, Foster BJ, Kasiske BL, Kher V, et al. Summary of the kidney disease: improving global outcomes (KDIGO) clinical practice guideline on the evaluation and management of candidates for kidney transplantation. Transplantation. 2020;104(4):708.</w:t>
      </w:r>
    </w:p>
    <w:p w14:paraId="34B194A5" w14:textId="77777777" w:rsidR="0019471C" w:rsidRPr="009C4059" w:rsidRDefault="0019471C" w:rsidP="00217066">
      <w:pPr>
        <w:pStyle w:val="EndNoteBibliography"/>
        <w:spacing w:after="0" w:line="276" w:lineRule="auto"/>
      </w:pPr>
      <w:r w:rsidRPr="009C4059">
        <w:t>15.</w:t>
      </w:r>
      <w:r w:rsidRPr="009C4059">
        <w:tab/>
        <w:t>Davison SN, Tupala B, Wasylynuk BA, Siu V, Sinnarajah A, Triscott J. Recommendations for the care of patients receiving conservative kidney management: focus on management of CKD and symptoms. Clinical Journal of the American Society of Nephrology. 2019;14(4):626-34.</w:t>
      </w:r>
    </w:p>
    <w:p w14:paraId="1BA04367" w14:textId="77777777" w:rsidR="0019471C" w:rsidRPr="009C4059" w:rsidRDefault="0019471C" w:rsidP="00217066">
      <w:pPr>
        <w:pStyle w:val="EndNoteBibliography"/>
        <w:spacing w:after="0" w:line="276" w:lineRule="auto"/>
      </w:pPr>
      <w:r w:rsidRPr="009C4059">
        <w:t>16.</w:t>
      </w:r>
      <w:r w:rsidRPr="009C4059">
        <w:tab/>
        <w:t>Davis S, Mohan S. Managing patients with failing kidney allograft: many questions remain. Clinical Journal of the American Society of Nephrology. 2022;17(3):444-51.</w:t>
      </w:r>
    </w:p>
    <w:p w14:paraId="6E468881" w14:textId="77777777" w:rsidR="0019471C" w:rsidRPr="009C4059" w:rsidRDefault="0019471C" w:rsidP="00217066">
      <w:pPr>
        <w:pStyle w:val="EndNoteBibliography"/>
        <w:spacing w:after="0" w:line="276" w:lineRule="auto"/>
      </w:pPr>
      <w:r w:rsidRPr="009C4059">
        <w:t>17.</w:t>
      </w:r>
      <w:r w:rsidRPr="009C4059">
        <w:tab/>
        <w:t xml:space="preserve">Psychosocial Health – A Manifesto for Action.: Kidney Care UK. ; 2022 [Available from: </w:t>
      </w:r>
      <w:r w:rsidRPr="003C6641">
        <w:t>https://www.kidneycareuk.org/about-kidney-health/living-kidney-disease/mental-health/manifesto/</w:t>
      </w:r>
      <w:r w:rsidRPr="009C4059">
        <w:t xml:space="preserve"> </w:t>
      </w:r>
    </w:p>
    <w:p w14:paraId="22EF9EA6" w14:textId="77777777" w:rsidR="0019471C" w:rsidRPr="009C4059" w:rsidRDefault="0019471C" w:rsidP="00217066">
      <w:pPr>
        <w:pStyle w:val="EndNoteBibliography"/>
        <w:spacing w:after="0" w:line="276" w:lineRule="auto"/>
      </w:pPr>
      <w:r w:rsidRPr="009C4059">
        <w:t>18.</w:t>
      </w:r>
      <w:r w:rsidRPr="009C4059">
        <w:tab/>
        <w:t>Das P, Naylor C, Majeed A. Bringing together physical and mental health within primary care: a new frontier for integrated care. SAGE Publications Sage UK: London, England; 2016. p. 364-6.</w:t>
      </w:r>
    </w:p>
    <w:p w14:paraId="5DA5FB6D" w14:textId="77777777" w:rsidR="0019471C" w:rsidRPr="009C4059" w:rsidRDefault="0019471C" w:rsidP="00217066">
      <w:pPr>
        <w:pStyle w:val="EndNoteBibliography"/>
        <w:spacing w:after="0" w:line="276" w:lineRule="auto"/>
      </w:pPr>
      <w:r w:rsidRPr="009C4059">
        <w:t>19.</w:t>
      </w:r>
      <w:r w:rsidRPr="009C4059">
        <w:tab/>
        <w:t>Newland A. National Institute for Health and Care Excellence. 2017.</w:t>
      </w:r>
    </w:p>
    <w:p w14:paraId="43AB7C7C" w14:textId="77777777" w:rsidR="0019471C" w:rsidRPr="009C4059" w:rsidRDefault="0019471C" w:rsidP="00217066">
      <w:pPr>
        <w:pStyle w:val="EndNoteBibliography"/>
        <w:spacing w:after="0" w:line="276" w:lineRule="auto"/>
      </w:pPr>
      <w:r w:rsidRPr="009C4059">
        <w:lastRenderedPageBreak/>
        <w:t>20.</w:t>
      </w:r>
      <w:r w:rsidRPr="009C4059">
        <w:tab/>
        <w:t>Seekles M, Ormandy P, Kamerāde D. Examining patient distress and unmet need for support across UK renal units with varying models of psychosocial care delivery: a cross-sectional survey study. BMJ open. 2020;10(9):e036931.</w:t>
      </w:r>
    </w:p>
    <w:p w14:paraId="24D36C80" w14:textId="77777777" w:rsidR="0019471C" w:rsidRPr="009C4059" w:rsidRDefault="0019471C" w:rsidP="00217066">
      <w:pPr>
        <w:pStyle w:val="EndNoteBibliography"/>
        <w:spacing w:after="0" w:line="276" w:lineRule="auto"/>
      </w:pPr>
      <w:r w:rsidRPr="009C4059">
        <w:t>21.</w:t>
      </w:r>
      <w:r w:rsidRPr="009C4059">
        <w:tab/>
        <w:t>Dallimore DJ, Neukirchinger B, Noyes J. Why is transition between child and adult services a dangerous time for young people with chronic kidney disease? A mixed-method systematic review. PLoS One. 2018;13(8):e0201098.</w:t>
      </w:r>
    </w:p>
    <w:p w14:paraId="5DF640F7" w14:textId="77777777" w:rsidR="0019471C" w:rsidRPr="009C4059" w:rsidRDefault="0019471C" w:rsidP="00217066">
      <w:pPr>
        <w:pStyle w:val="EndNoteBibliography"/>
        <w:spacing w:after="0" w:line="276" w:lineRule="auto"/>
      </w:pPr>
      <w:r w:rsidRPr="009C4059">
        <w:t>22.</w:t>
      </w:r>
      <w:r w:rsidRPr="009C4059">
        <w:tab/>
        <w:t>Pankhurst T, Evison F, Mytton J, Williamson S, Kerecuk L, Lipkin G. Young adults have worse kidney transplant outcomes than other age groups. Nephrology Dialysis Transplantation. 2020.</w:t>
      </w:r>
    </w:p>
    <w:p w14:paraId="4B273519" w14:textId="77777777" w:rsidR="0019471C" w:rsidRPr="009C4059" w:rsidRDefault="0019471C" w:rsidP="00217066">
      <w:pPr>
        <w:pStyle w:val="EndNoteBibliography"/>
        <w:spacing w:after="0" w:line="276" w:lineRule="auto"/>
      </w:pPr>
      <w:r w:rsidRPr="009C4059">
        <w:t>23.</w:t>
      </w:r>
      <w:r w:rsidRPr="009C4059">
        <w:tab/>
        <w:t>Scheel JF, Schieber K, Reber S, Stoessel L, Waldmann E, Jank S, et al. Psychosocial variables associated with immunosuppressive medication non-adherence after renal transplantation. Frontiers in psychiatry. 2018;9:23.</w:t>
      </w:r>
    </w:p>
    <w:p w14:paraId="3A2CD31A" w14:textId="77777777" w:rsidR="0019471C" w:rsidRPr="009C4059" w:rsidRDefault="0019471C" w:rsidP="00217066">
      <w:pPr>
        <w:pStyle w:val="EndNoteBibliography"/>
        <w:spacing w:after="0" w:line="276" w:lineRule="auto"/>
      </w:pPr>
      <w:r w:rsidRPr="009C4059">
        <w:t>24.</w:t>
      </w:r>
      <w:r w:rsidRPr="009C4059">
        <w:tab/>
        <w:t>NICE. Implementing transition care locally and nationally using the “Ready Steady Go” programme. 2015.</w:t>
      </w:r>
    </w:p>
    <w:p w14:paraId="64AB702C" w14:textId="77777777" w:rsidR="0019471C" w:rsidRPr="009C4059" w:rsidRDefault="0019471C" w:rsidP="00217066">
      <w:pPr>
        <w:pStyle w:val="EndNoteBibliography"/>
        <w:spacing w:after="0" w:line="276" w:lineRule="auto"/>
      </w:pPr>
      <w:r w:rsidRPr="009C4059">
        <w:t>25.</w:t>
      </w:r>
      <w:r w:rsidRPr="009C4059">
        <w:tab/>
        <w:t>Nagra A, McGinnity PM, Davis N, Salmon AP. Implementing transition: ready steady go. Archives of Disease in Childhood-Education and Practice. 2015;100(6):313-20.</w:t>
      </w:r>
    </w:p>
    <w:p w14:paraId="1FFB3F1F" w14:textId="77777777" w:rsidR="0019471C" w:rsidRPr="009C4059" w:rsidRDefault="0019471C" w:rsidP="00217066">
      <w:pPr>
        <w:pStyle w:val="EndNoteBibliography"/>
        <w:spacing w:after="0" w:line="276" w:lineRule="auto"/>
      </w:pPr>
      <w:r w:rsidRPr="009C4059">
        <w:t>26.</w:t>
      </w:r>
      <w:r w:rsidRPr="009C4059">
        <w:tab/>
        <w:t>Leal R, Pardinhas C, Martinho A, Sá HO, Figueiredo A, Alves R. Challenges in the Management of the Patient with a Failing Kidney Graft: A Narrative Review. Journal of Clinical Medicine. 2022;11(20):6108.</w:t>
      </w:r>
    </w:p>
    <w:p w14:paraId="04B15AC3" w14:textId="77777777" w:rsidR="0019471C" w:rsidRPr="009C4059" w:rsidRDefault="0019471C" w:rsidP="00217066">
      <w:pPr>
        <w:pStyle w:val="EndNoteBibliography"/>
        <w:spacing w:after="0" w:line="276" w:lineRule="auto"/>
      </w:pPr>
      <w:r w:rsidRPr="009C4059">
        <w:t>27.</w:t>
      </w:r>
      <w:r w:rsidRPr="009C4059">
        <w:tab/>
        <w:t>Kalantar-Zadeh K, Lockwood MB, Rhee CM, Tantisattamo E, Andreoli S, Balducci A, et al. Patient-centred approaches for the management of unpleasant symptoms in kidney disease. Nature Reviews Nephrology. 2022;18(3):185-98.</w:t>
      </w:r>
    </w:p>
    <w:p w14:paraId="071B1D55" w14:textId="5581CD58" w:rsidR="0019471C" w:rsidRDefault="0019471C" w:rsidP="00217066">
      <w:pPr>
        <w:pStyle w:val="EndNoteBibliography"/>
        <w:spacing w:after="0" w:line="276" w:lineRule="auto"/>
      </w:pPr>
      <w:r w:rsidRPr="009C4059">
        <w:t>28.</w:t>
      </w:r>
      <w:r w:rsidRPr="009C4059">
        <w:tab/>
        <w:t>Axelsson L, Alvariza A, Lindberg J, Öhlén J, Håkanson C, Reimertz H, et al. Unmet palliative care needs among patients with end-stage kidney disease: a national registry study about the last week of life. Journal of Pain and Symptom Management. 2018;55(2):236-44.</w:t>
      </w:r>
    </w:p>
    <w:p w14:paraId="6FAF93AA" w14:textId="77777777" w:rsidR="00217066" w:rsidRDefault="00217066" w:rsidP="00217066">
      <w:pPr>
        <w:pStyle w:val="EndNoteBibliography"/>
        <w:spacing w:after="0" w:line="276" w:lineRule="auto"/>
      </w:pPr>
    </w:p>
    <w:p w14:paraId="52505D50" w14:textId="77777777" w:rsidR="009974B3" w:rsidRDefault="009974B3" w:rsidP="0019471C">
      <w:pPr>
        <w:spacing w:line="276" w:lineRule="auto"/>
        <w:rPr>
          <w:rFonts w:cs="Calibri"/>
        </w:rPr>
      </w:pPr>
    </w:p>
    <w:p w14:paraId="73778313" w14:textId="3910BDDB" w:rsidR="0019471C" w:rsidRPr="00506646" w:rsidRDefault="0019471C" w:rsidP="00514677">
      <w:pPr>
        <w:pStyle w:val="Heading4"/>
      </w:pPr>
      <w:bookmarkStart w:id="63" w:name="_Toc128329970"/>
      <w:r w:rsidRPr="00506646">
        <w:lastRenderedPageBreak/>
        <w:t xml:space="preserve">Appendix </w:t>
      </w:r>
      <w:r w:rsidR="009974B3">
        <w:t>4.</w:t>
      </w:r>
      <w:r w:rsidRPr="00506646">
        <w:t>1</w:t>
      </w:r>
      <w:r w:rsidRPr="00506646">
        <w:tab/>
        <w:t>Patient Health Questionnaire 4</w:t>
      </w:r>
      <w:bookmarkEnd w:id="63"/>
      <w:r w:rsidRPr="00506646">
        <w:t xml:space="preserve"> </w:t>
      </w:r>
    </w:p>
    <w:p w14:paraId="4AEC71C1" w14:textId="519DB71E" w:rsidR="0019471C" w:rsidRDefault="0019471C" w:rsidP="0019471C">
      <w:pPr>
        <w:rPr>
          <w:b/>
        </w:rPr>
      </w:pPr>
      <w:r>
        <w:rPr>
          <w:b/>
          <w:noProof/>
        </w:rPr>
        <w:drawing>
          <wp:inline distT="0" distB="0" distL="0" distR="0" wp14:anchorId="752C2D44" wp14:editId="1A6F40AC">
            <wp:extent cx="5123593" cy="626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b="5487"/>
                    <a:stretch>
                      <a:fillRect/>
                    </a:stretch>
                  </pic:blipFill>
                  <pic:spPr bwMode="auto">
                    <a:xfrm>
                      <a:off x="0" y="0"/>
                      <a:ext cx="5123593" cy="6264000"/>
                    </a:xfrm>
                    <a:prstGeom prst="rect">
                      <a:avLst/>
                    </a:prstGeom>
                    <a:noFill/>
                    <a:ln>
                      <a:noFill/>
                    </a:ln>
                  </pic:spPr>
                </pic:pic>
              </a:graphicData>
            </a:graphic>
          </wp:inline>
        </w:drawing>
      </w:r>
    </w:p>
    <w:p w14:paraId="6BD4CAB5" w14:textId="77777777" w:rsidR="0019471C" w:rsidRDefault="0019471C" w:rsidP="0019471C">
      <w:pPr>
        <w:rPr>
          <w:b/>
        </w:rPr>
        <w:sectPr w:rsidR="0019471C" w:rsidSect="00DC39B9">
          <w:pgSz w:w="11906" w:h="16838"/>
          <w:pgMar w:top="1440" w:right="1440" w:bottom="1440" w:left="1440" w:header="708" w:footer="708" w:gutter="0"/>
          <w:cols w:space="708"/>
          <w:docGrid w:linePitch="360"/>
        </w:sectPr>
      </w:pPr>
    </w:p>
    <w:p w14:paraId="5D717A89" w14:textId="3D3F80B0" w:rsidR="0019471C" w:rsidRPr="00506646" w:rsidRDefault="0019471C" w:rsidP="00514677">
      <w:pPr>
        <w:pStyle w:val="Heading4"/>
      </w:pPr>
      <w:bookmarkStart w:id="64" w:name="_Toc128329971"/>
      <w:r w:rsidRPr="00506646">
        <w:lastRenderedPageBreak/>
        <w:t xml:space="preserve">Appendix </w:t>
      </w:r>
      <w:r w:rsidR="009974B3">
        <w:t>4.</w:t>
      </w:r>
      <w:r w:rsidRPr="00506646">
        <w:t>2</w:t>
      </w:r>
      <w:r w:rsidRPr="00506646">
        <w:tab/>
        <w:t>Distress Thermometer</w:t>
      </w:r>
      <w:bookmarkEnd w:id="64"/>
    </w:p>
    <w:p w14:paraId="6576D27A" w14:textId="1325179F" w:rsidR="0019471C" w:rsidRDefault="0019471C" w:rsidP="0019471C">
      <w:pPr>
        <w:jc w:val="center"/>
        <w:rPr>
          <w:b/>
        </w:rPr>
        <w:sectPr w:rsidR="0019471C" w:rsidSect="006351F6">
          <w:pgSz w:w="16838" w:h="11906" w:orient="landscape"/>
          <w:pgMar w:top="1440" w:right="1440" w:bottom="1440" w:left="709" w:header="708" w:footer="708" w:gutter="0"/>
          <w:cols w:space="708"/>
          <w:docGrid w:linePitch="360"/>
        </w:sectPr>
      </w:pPr>
      <w:r>
        <w:rPr>
          <w:b/>
          <w:noProof/>
        </w:rPr>
        <w:drawing>
          <wp:inline distT="0" distB="0" distL="0" distR="0" wp14:anchorId="3AD17C7E" wp14:editId="2069BA84">
            <wp:extent cx="5731510" cy="3930650"/>
            <wp:effectExtent l="0" t="0" r="2540" b="0"/>
            <wp:docPr id="2" name="Picture 2"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10;&#10;Description automatically generated with low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3930650"/>
                    </a:xfrm>
                    <a:prstGeom prst="rect">
                      <a:avLst/>
                    </a:prstGeom>
                    <a:noFill/>
                    <a:ln>
                      <a:noFill/>
                    </a:ln>
                  </pic:spPr>
                </pic:pic>
              </a:graphicData>
            </a:graphic>
          </wp:inline>
        </w:drawing>
      </w:r>
    </w:p>
    <w:p w14:paraId="1A758410" w14:textId="42AEFF4D" w:rsidR="0019471C" w:rsidRPr="00506646" w:rsidRDefault="0019471C" w:rsidP="00514677">
      <w:pPr>
        <w:pStyle w:val="Heading4"/>
      </w:pPr>
      <w:bookmarkStart w:id="65" w:name="_Toc128329972"/>
      <w:r w:rsidRPr="00506646">
        <w:lastRenderedPageBreak/>
        <w:t xml:space="preserve">Appendix </w:t>
      </w:r>
      <w:r w:rsidR="009974B3">
        <w:t>4.</w:t>
      </w:r>
      <w:r w:rsidRPr="00506646">
        <w:t>3</w:t>
      </w:r>
      <w:r w:rsidRPr="00506646">
        <w:tab/>
        <w:t>Work &amp; Social Adjustment Scale</w:t>
      </w:r>
      <w:bookmarkEnd w:id="65"/>
    </w:p>
    <w:p w14:paraId="29582950" w14:textId="12C803E7" w:rsidR="0019471C" w:rsidRDefault="0019471C" w:rsidP="0019471C">
      <w:pPr>
        <w:rPr>
          <w:b/>
        </w:rPr>
      </w:pPr>
      <w:r>
        <w:rPr>
          <w:b/>
          <w:noProof/>
        </w:rPr>
        <w:drawing>
          <wp:inline distT="0" distB="0" distL="0" distR="0" wp14:anchorId="11A1D21B" wp14:editId="0D12515D">
            <wp:extent cx="5731510" cy="62363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t="7362" b="8569"/>
                    <a:stretch>
                      <a:fillRect/>
                    </a:stretch>
                  </pic:blipFill>
                  <pic:spPr bwMode="auto">
                    <a:xfrm>
                      <a:off x="0" y="0"/>
                      <a:ext cx="5731510" cy="6236335"/>
                    </a:xfrm>
                    <a:prstGeom prst="rect">
                      <a:avLst/>
                    </a:prstGeom>
                    <a:noFill/>
                    <a:ln>
                      <a:noFill/>
                    </a:ln>
                  </pic:spPr>
                </pic:pic>
              </a:graphicData>
            </a:graphic>
          </wp:inline>
        </w:drawing>
      </w:r>
    </w:p>
    <w:p w14:paraId="3635B130" w14:textId="77777777" w:rsidR="0019471C" w:rsidRDefault="0019471C" w:rsidP="0019471C">
      <w:pPr>
        <w:rPr>
          <w:b/>
        </w:rPr>
      </w:pPr>
    </w:p>
    <w:p w14:paraId="44DB5115" w14:textId="77777777" w:rsidR="0019471C" w:rsidRDefault="0019471C" w:rsidP="0019471C">
      <w:pPr>
        <w:rPr>
          <w:b/>
        </w:rPr>
      </w:pPr>
    </w:p>
    <w:p w14:paraId="2CC279E2" w14:textId="77777777" w:rsidR="0019471C" w:rsidRDefault="0019471C" w:rsidP="0019471C">
      <w:pPr>
        <w:rPr>
          <w:b/>
        </w:rPr>
      </w:pPr>
    </w:p>
    <w:p w14:paraId="3BCA921E" w14:textId="77777777" w:rsidR="0019471C" w:rsidRDefault="0019471C" w:rsidP="0019471C">
      <w:pPr>
        <w:rPr>
          <w:b/>
        </w:rPr>
      </w:pPr>
    </w:p>
    <w:p w14:paraId="65545985" w14:textId="77777777" w:rsidR="0019471C" w:rsidRDefault="0019471C" w:rsidP="0019471C">
      <w:pPr>
        <w:pStyle w:val="Heading2"/>
        <w:spacing w:before="0" w:after="160" w:line="276" w:lineRule="auto"/>
      </w:pPr>
    </w:p>
    <w:p w14:paraId="6FFB2E3D" w14:textId="77777777" w:rsidR="0019471C" w:rsidRDefault="0019471C" w:rsidP="0019471C">
      <w:pPr>
        <w:pStyle w:val="Heading2"/>
        <w:spacing w:before="0" w:after="160" w:line="276" w:lineRule="auto"/>
      </w:pPr>
    </w:p>
    <w:p w14:paraId="1229BBB8" w14:textId="77777777" w:rsidR="0019471C" w:rsidRDefault="0019471C" w:rsidP="0019471C">
      <w:pPr>
        <w:spacing w:line="276" w:lineRule="auto"/>
        <w:rPr>
          <w:rFonts w:cs="Calibri"/>
        </w:rPr>
      </w:pPr>
    </w:p>
    <w:p w14:paraId="66134880" w14:textId="77777777" w:rsidR="0019471C" w:rsidRDefault="0019471C" w:rsidP="0019471C">
      <w:pPr>
        <w:spacing w:line="276" w:lineRule="auto"/>
        <w:rPr>
          <w:rFonts w:cs="Calibri"/>
        </w:rPr>
      </w:pPr>
    </w:p>
    <w:p w14:paraId="0CD13B5B" w14:textId="77777777" w:rsidR="0019471C" w:rsidRDefault="0019471C" w:rsidP="0019471C">
      <w:pPr>
        <w:spacing w:line="276" w:lineRule="auto"/>
        <w:rPr>
          <w:rFonts w:cs="Calibri"/>
        </w:rPr>
      </w:pPr>
    </w:p>
    <w:p w14:paraId="51DED844" w14:textId="61D5FA8D" w:rsidR="0019471C" w:rsidRPr="00506646" w:rsidRDefault="0019471C" w:rsidP="00514677">
      <w:pPr>
        <w:pStyle w:val="Heading4"/>
      </w:pPr>
      <w:bookmarkStart w:id="66" w:name="_Toc128329973"/>
      <w:r w:rsidRPr="00506646">
        <w:t>Appendix 4</w:t>
      </w:r>
      <w:r w:rsidR="009974B3">
        <w:t>.4</w:t>
      </w:r>
      <w:r w:rsidRPr="00506646">
        <w:tab/>
        <w:t>Medication Adherence Report Scale 5</w:t>
      </w:r>
      <w:bookmarkEnd w:id="66"/>
    </w:p>
    <w:p w14:paraId="6D1B8A1C" w14:textId="77777777" w:rsidR="0019471C" w:rsidRDefault="0019471C" w:rsidP="0019471C">
      <w:pPr>
        <w:rPr>
          <w:b/>
        </w:rPr>
      </w:pPr>
    </w:p>
    <w:bookmarkStart w:id="67" w:name="_MON_1736712453"/>
    <w:bookmarkEnd w:id="67"/>
    <w:p w14:paraId="548E331B" w14:textId="77777777" w:rsidR="0019471C" w:rsidRPr="008676B4" w:rsidRDefault="00395EC9" w:rsidP="0019471C">
      <w:pPr>
        <w:rPr>
          <w:b/>
        </w:rPr>
      </w:pPr>
      <w:r>
        <w:rPr>
          <w:b/>
          <w:noProof/>
        </w:rPr>
        <w:object w:dxaOrig="9260" w:dyaOrig="7520" w14:anchorId="080611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2.5pt;height:376.3pt;mso-width-percent:0;mso-height-percent:0;mso-width-percent:0;mso-height-percent:0" o:ole="">
            <v:imagedata r:id="rId51" o:title=""/>
          </v:shape>
          <o:OLEObject Type="Embed" ProgID="Word.Document.12" ShapeID="_x0000_i1025" DrawAspect="Content" ObjectID="_1738952906" r:id="rId52">
            <o:FieldCodes>\s</o:FieldCodes>
          </o:OLEObject>
        </w:object>
      </w:r>
    </w:p>
    <w:p w14:paraId="51418E52" w14:textId="1249CDD0" w:rsidR="00737A80" w:rsidRDefault="00737A80">
      <w:r>
        <w:br w:type="page"/>
      </w:r>
    </w:p>
    <w:p w14:paraId="4B3190B5" w14:textId="3CF0FB36" w:rsidR="00E27D5C" w:rsidRDefault="00E27D5C">
      <w:pPr>
        <w:pStyle w:val="Heading1"/>
        <w:numPr>
          <w:ilvl w:val="0"/>
          <w:numId w:val="34"/>
        </w:numPr>
        <w:spacing w:before="0" w:after="160" w:line="276" w:lineRule="auto"/>
        <w:ind w:left="0" w:firstLine="0"/>
      </w:pPr>
      <w:bookmarkStart w:id="68" w:name="_Toc128329974"/>
      <w:r>
        <w:lastRenderedPageBreak/>
        <w:t>P</w:t>
      </w:r>
      <w:r w:rsidR="0011448D">
        <w:t>AEDIATRICS</w:t>
      </w:r>
      <w:bookmarkEnd w:id="68"/>
    </w:p>
    <w:p w14:paraId="02F58960" w14:textId="55F766D1" w:rsidR="00737A80" w:rsidRPr="00557981" w:rsidRDefault="00737A80" w:rsidP="00B462AD">
      <w:pPr>
        <w:pStyle w:val="Heading2"/>
      </w:pPr>
      <w:bookmarkStart w:id="69" w:name="_Toc128329975"/>
      <w:r w:rsidRPr="00557981">
        <w:t xml:space="preserve">Statements of </w:t>
      </w:r>
      <w:r w:rsidR="00514677">
        <w:t>R</w:t>
      </w:r>
      <w:r w:rsidRPr="00557981">
        <w:t>ecommendation</w:t>
      </w:r>
      <w:bookmarkEnd w:id="69"/>
      <w:r w:rsidRPr="00557981">
        <w:t xml:space="preserve"> </w:t>
      </w:r>
    </w:p>
    <w:p w14:paraId="20A3DB34" w14:textId="77777777" w:rsidR="00737A80" w:rsidRPr="00737A80" w:rsidRDefault="00737A80" w:rsidP="00737A80">
      <w:pPr>
        <w:spacing w:line="276" w:lineRule="auto"/>
        <w:jc w:val="both"/>
        <w:rPr>
          <w:rFonts w:ascii="Calibri" w:eastAsia="Calibri" w:hAnsi="Calibri" w:cs="Calibri"/>
        </w:rPr>
      </w:pPr>
      <w:r w:rsidRPr="00737A80">
        <w:rPr>
          <w:rFonts w:ascii="Calibri" w:hAnsi="Calibri" w:cs="Calibri"/>
        </w:rPr>
        <w:t>We recommend that:</w:t>
      </w:r>
    </w:p>
    <w:p w14:paraId="491D1DA1" w14:textId="77777777" w:rsidR="00737A80" w:rsidRPr="00557981" w:rsidRDefault="00737A80">
      <w:pPr>
        <w:numPr>
          <w:ilvl w:val="0"/>
          <w:numId w:val="48"/>
        </w:numPr>
        <w:pBdr>
          <w:top w:val="nil"/>
          <w:left w:val="nil"/>
          <w:bottom w:val="nil"/>
          <w:right w:val="nil"/>
          <w:between w:val="nil"/>
          <w:bar w:val="nil"/>
        </w:pBdr>
        <w:spacing w:line="276" w:lineRule="auto"/>
        <w:jc w:val="both"/>
        <w:rPr>
          <w:rFonts w:ascii="Calibri" w:hAnsi="Calibri" w:cs="Calibri"/>
        </w:rPr>
      </w:pPr>
      <w:r w:rsidRPr="00557981">
        <w:rPr>
          <w:rFonts w:ascii="Calibri" w:hAnsi="Calibri" w:cs="Calibri"/>
        </w:rPr>
        <w:t xml:space="preserve">Paediatric patients with </w:t>
      </w:r>
      <w:r>
        <w:rPr>
          <w:rFonts w:ascii="Calibri" w:hAnsi="Calibri" w:cs="Calibri"/>
        </w:rPr>
        <w:t xml:space="preserve">a </w:t>
      </w:r>
      <w:r w:rsidRPr="00557981">
        <w:rPr>
          <w:rFonts w:ascii="Calibri" w:hAnsi="Calibri" w:cs="Calibri"/>
        </w:rPr>
        <w:t>failing allograft (eGFR&lt;25ml/min/1.73m</w:t>
      </w:r>
      <w:r w:rsidRPr="00F86CC1">
        <w:rPr>
          <w:rFonts w:ascii="Calibri" w:hAnsi="Calibri" w:cs="Calibri"/>
          <w:vertAlign w:val="superscript"/>
        </w:rPr>
        <w:t>2</w:t>
      </w:r>
      <w:r w:rsidRPr="00557981">
        <w:rPr>
          <w:rFonts w:ascii="Calibri" w:hAnsi="Calibri" w:cs="Calibri"/>
        </w:rPr>
        <w:t>) are managed by multidisciplinary teams involving low clearance and transplant nephrologists, dieticians, psychologists, social workers, clinical nurse specialists, transplant surgeons and</w:t>
      </w:r>
      <w:r>
        <w:rPr>
          <w:rFonts w:ascii="Calibri" w:hAnsi="Calibri" w:cs="Calibri"/>
        </w:rPr>
        <w:t xml:space="preserve"> additional</w:t>
      </w:r>
      <w:r w:rsidRPr="00557981">
        <w:rPr>
          <w:rFonts w:ascii="Calibri" w:hAnsi="Calibri" w:cs="Calibri"/>
        </w:rPr>
        <w:t xml:space="preserve"> local services</w:t>
      </w:r>
      <w:r>
        <w:rPr>
          <w:rFonts w:ascii="Calibri" w:hAnsi="Calibri" w:cs="Calibri"/>
        </w:rPr>
        <w:t xml:space="preserve"> as required</w:t>
      </w:r>
      <w:r w:rsidRPr="00557981">
        <w:rPr>
          <w:rFonts w:ascii="Calibri" w:hAnsi="Calibri" w:cs="Calibri"/>
        </w:rPr>
        <w:t xml:space="preserve">. (1C) </w:t>
      </w:r>
    </w:p>
    <w:p w14:paraId="7D067BC2" w14:textId="77777777" w:rsidR="00737A80" w:rsidRPr="00557981" w:rsidRDefault="00737A80">
      <w:pPr>
        <w:numPr>
          <w:ilvl w:val="0"/>
          <w:numId w:val="48"/>
        </w:numPr>
        <w:pBdr>
          <w:top w:val="nil"/>
          <w:left w:val="nil"/>
          <w:bottom w:val="nil"/>
          <w:right w:val="nil"/>
          <w:between w:val="nil"/>
          <w:bar w:val="nil"/>
        </w:pBdr>
        <w:spacing w:line="276" w:lineRule="auto"/>
        <w:jc w:val="both"/>
        <w:rPr>
          <w:rFonts w:ascii="Calibri" w:hAnsi="Calibri" w:cs="Calibri"/>
        </w:rPr>
      </w:pPr>
      <w:r w:rsidRPr="00557981">
        <w:rPr>
          <w:rFonts w:ascii="Calibri" w:hAnsi="Calibri" w:cs="Calibri"/>
          <w:shd w:val="clear" w:color="auto" w:fill="FFFFFF"/>
        </w:rPr>
        <w:t>Where the allograft is failing, there is maintenance of immunosuppression (IS) to preserve residual kidney function and minimise sensiti</w:t>
      </w:r>
      <w:r>
        <w:rPr>
          <w:rFonts w:ascii="Calibri" w:hAnsi="Calibri" w:cs="Calibri"/>
          <w:shd w:val="clear" w:color="auto" w:fill="FFFFFF"/>
        </w:rPr>
        <w:t>s</w:t>
      </w:r>
      <w:r w:rsidRPr="00557981">
        <w:rPr>
          <w:rFonts w:ascii="Calibri" w:hAnsi="Calibri" w:cs="Calibri"/>
          <w:shd w:val="clear" w:color="auto" w:fill="FFFFFF"/>
        </w:rPr>
        <w:t>ation. (1C) </w:t>
      </w:r>
    </w:p>
    <w:p w14:paraId="7CC6AC3F" w14:textId="77777777" w:rsidR="00737A80" w:rsidRPr="00557981" w:rsidRDefault="00737A80">
      <w:pPr>
        <w:numPr>
          <w:ilvl w:val="0"/>
          <w:numId w:val="48"/>
        </w:numPr>
        <w:pBdr>
          <w:top w:val="nil"/>
          <w:left w:val="nil"/>
          <w:bottom w:val="nil"/>
          <w:right w:val="nil"/>
          <w:between w:val="nil"/>
          <w:bar w:val="nil"/>
        </w:pBdr>
        <w:spacing w:line="276" w:lineRule="auto"/>
        <w:jc w:val="both"/>
        <w:rPr>
          <w:rFonts w:ascii="Calibri" w:hAnsi="Calibri" w:cs="Calibri"/>
        </w:rPr>
      </w:pPr>
      <w:r w:rsidRPr="00557981">
        <w:rPr>
          <w:rFonts w:ascii="Calibri" w:hAnsi="Calibri" w:cs="Calibri"/>
          <w:shd w:val="clear" w:color="auto" w:fill="FFFFFF"/>
        </w:rPr>
        <w:t>A</w:t>
      </w:r>
      <w:r w:rsidRPr="00557981">
        <w:rPr>
          <w:rFonts w:ascii="Calibri" w:hAnsi="Calibri" w:cs="Calibri"/>
        </w:rPr>
        <w:t xml:space="preserve">llograft nephrectomy is not routinely performed and if needed, it is discussed within </w:t>
      </w:r>
      <w:r>
        <w:rPr>
          <w:rFonts w:ascii="Calibri" w:hAnsi="Calibri" w:cs="Calibri"/>
        </w:rPr>
        <w:t xml:space="preserve">the </w:t>
      </w:r>
      <w:r w:rsidRPr="00557981">
        <w:rPr>
          <w:rFonts w:ascii="Calibri" w:hAnsi="Calibri" w:cs="Calibri"/>
        </w:rPr>
        <w:t xml:space="preserve">multidisciplinary team </w:t>
      </w:r>
      <w:r>
        <w:rPr>
          <w:rFonts w:ascii="Calibri" w:hAnsi="Calibri" w:cs="Calibri"/>
        </w:rPr>
        <w:t>and the</w:t>
      </w:r>
      <w:r w:rsidRPr="00557981">
        <w:rPr>
          <w:rFonts w:ascii="Calibri" w:hAnsi="Calibri" w:cs="Calibri"/>
        </w:rPr>
        <w:t xml:space="preserve"> decision made individually for each patient based on clinical circumstances. (1C)</w:t>
      </w:r>
    </w:p>
    <w:p w14:paraId="6CCAE6F1" w14:textId="77777777" w:rsidR="00737A80" w:rsidRPr="00557981" w:rsidRDefault="00737A80">
      <w:pPr>
        <w:numPr>
          <w:ilvl w:val="0"/>
          <w:numId w:val="48"/>
        </w:numPr>
        <w:pBdr>
          <w:top w:val="nil"/>
          <w:left w:val="nil"/>
          <w:bottom w:val="nil"/>
          <w:right w:val="nil"/>
          <w:between w:val="nil"/>
          <w:bar w:val="nil"/>
        </w:pBdr>
        <w:spacing w:line="276" w:lineRule="auto"/>
        <w:jc w:val="both"/>
        <w:rPr>
          <w:rFonts w:ascii="Calibri" w:hAnsi="Calibri" w:cs="Calibri"/>
        </w:rPr>
      </w:pPr>
      <w:r w:rsidRPr="00557981">
        <w:rPr>
          <w:rFonts w:ascii="Calibri" w:hAnsi="Calibri" w:cs="Calibri"/>
        </w:rPr>
        <w:t>T</w:t>
      </w:r>
      <w:r>
        <w:rPr>
          <w:rFonts w:ascii="Calibri" w:hAnsi="Calibri" w:cs="Calibri"/>
        </w:rPr>
        <w:t>he t</w:t>
      </w:r>
      <w:r w:rsidRPr="00557981">
        <w:rPr>
          <w:rFonts w:ascii="Calibri" w:hAnsi="Calibri" w:cs="Calibri"/>
        </w:rPr>
        <w:t xml:space="preserve">arget for systolic blood pressure is below the 90th centile for height, </w:t>
      </w:r>
      <w:proofErr w:type="gramStart"/>
      <w:r w:rsidRPr="00557981">
        <w:rPr>
          <w:rFonts w:ascii="Calibri" w:hAnsi="Calibri" w:cs="Calibri"/>
        </w:rPr>
        <w:t>age</w:t>
      </w:r>
      <w:proofErr w:type="gramEnd"/>
      <w:r w:rsidRPr="00557981">
        <w:rPr>
          <w:rFonts w:ascii="Calibri" w:hAnsi="Calibri" w:cs="Calibri"/>
        </w:rPr>
        <w:t xml:space="preserve"> and gender (with a long-term goal to achieve control near the 50th percentile for age). (1C)</w:t>
      </w:r>
    </w:p>
    <w:p w14:paraId="3F0AA7B5" w14:textId="77777777" w:rsidR="00737A80" w:rsidRPr="00557981" w:rsidRDefault="00737A80">
      <w:pPr>
        <w:numPr>
          <w:ilvl w:val="0"/>
          <w:numId w:val="48"/>
        </w:numPr>
        <w:pBdr>
          <w:top w:val="nil"/>
          <w:left w:val="nil"/>
          <w:bottom w:val="nil"/>
          <w:right w:val="nil"/>
          <w:between w:val="nil"/>
          <w:bar w:val="nil"/>
        </w:pBdr>
        <w:spacing w:line="276" w:lineRule="auto"/>
        <w:jc w:val="both"/>
        <w:rPr>
          <w:rFonts w:ascii="Calibri" w:hAnsi="Calibri" w:cs="Calibri"/>
        </w:rPr>
      </w:pPr>
      <w:r w:rsidRPr="00557981">
        <w:rPr>
          <w:rFonts w:ascii="Calibri" w:hAnsi="Calibri" w:cs="Calibri"/>
        </w:rPr>
        <w:t>Patients with established hypertension have annual surveillance with an echocardiogram. (1C)</w:t>
      </w:r>
    </w:p>
    <w:p w14:paraId="16D0A3D9" w14:textId="77777777" w:rsidR="00737A80" w:rsidRPr="00557981" w:rsidRDefault="00737A80">
      <w:pPr>
        <w:numPr>
          <w:ilvl w:val="0"/>
          <w:numId w:val="48"/>
        </w:numPr>
        <w:pBdr>
          <w:top w:val="nil"/>
          <w:left w:val="nil"/>
          <w:bottom w:val="nil"/>
          <w:right w:val="nil"/>
          <w:between w:val="nil"/>
          <w:bar w:val="nil"/>
        </w:pBdr>
        <w:spacing w:line="276" w:lineRule="auto"/>
        <w:jc w:val="both"/>
        <w:rPr>
          <w:rFonts w:ascii="Calibri" w:hAnsi="Calibri" w:cs="Calibri"/>
        </w:rPr>
      </w:pPr>
      <w:r w:rsidRPr="00557981">
        <w:rPr>
          <w:rFonts w:ascii="Calibri" w:hAnsi="Calibri" w:cs="Calibri"/>
        </w:rPr>
        <w:t>Haemoglobin levels are maintained within the normal range (recommended range 100 - 130 g/L). (1C)</w:t>
      </w:r>
    </w:p>
    <w:p w14:paraId="5D2A6E2F" w14:textId="77777777" w:rsidR="00737A80" w:rsidRPr="00557981" w:rsidRDefault="00737A80">
      <w:pPr>
        <w:numPr>
          <w:ilvl w:val="0"/>
          <w:numId w:val="48"/>
        </w:numPr>
        <w:pBdr>
          <w:top w:val="nil"/>
          <w:left w:val="nil"/>
          <w:bottom w:val="nil"/>
          <w:right w:val="nil"/>
          <w:between w:val="nil"/>
          <w:bar w:val="nil"/>
        </w:pBdr>
        <w:spacing w:line="276" w:lineRule="auto"/>
        <w:jc w:val="both"/>
        <w:rPr>
          <w:rFonts w:ascii="Calibri" w:hAnsi="Calibri" w:cs="Calibri"/>
        </w:rPr>
      </w:pPr>
      <w:r w:rsidRPr="00557981">
        <w:rPr>
          <w:rFonts w:ascii="Calibri" w:hAnsi="Calibri" w:cs="Calibri"/>
        </w:rPr>
        <w:t>Correction of acidosis, maintenance of phosphate and PTH levels close to the normal range. (1C)</w:t>
      </w:r>
    </w:p>
    <w:p w14:paraId="3FD1DD50" w14:textId="77777777" w:rsidR="00737A80" w:rsidRPr="00557981" w:rsidRDefault="00737A80">
      <w:pPr>
        <w:numPr>
          <w:ilvl w:val="0"/>
          <w:numId w:val="48"/>
        </w:numPr>
        <w:pBdr>
          <w:top w:val="nil"/>
          <w:left w:val="nil"/>
          <w:bottom w:val="nil"/>
          <w:right w:val="nil"/>
          <w:between w:val="nil"/>
          <w:bar w:val="nil"/>
        </w:pBdr>
        <w:spacing w:line="276" w:lineRule="auto"/>
        <w:jc w:val="both"/>
        <w:rPr>
          <w:rFonts w:ascii="Calibri" w:hAnsi="Calibri" w:cs="Calibri"/>
        </w:rPr>
      </w:pPr>
      <w:r w:rsidRPr="00557981">
        <w:rPr>
          <w:rFonts w:ascii="Calibri" w:hAnsi="Calibri" w:cs="Calibri"/>
        </w:rPr>
        <w:t>Children in a high-risk category for development of diabetes mellitus should have personalised surveillance, which would usually include 3 monthly measurements of HbA1c level. (1D)</w:t>
      </w:r>
    </w:p>
    <w:p w14:paraId="7124108A" w14:textId="77777777" w:rsidR="00737A80" w:rsidRPr="00557981" w:rsidRDefault="00737A80">
      <w:pPr>
        <w:numPr>
          <w:ilvl w:val="0"/>
          <w:numId w:val="48"/>
        </w:numPr>
        <w:pBdr>
          <w:top w:val="nil"/>
          <w:left w:val="nil"/>
          <w:bottom w:val="nil"/>
          <w:right w:val="nil"/>
          <w:between w:val="nil"/>
          <w:bar w:val="nil"/>
        </w:pBdr>
        <w:spacing w:line="276" w:lineRule="auto"/>
        <w:ind w:left="714" w:hanging="357"/>
        <w:jc w:val="both"/>
        <w:rPr>
          <w:rFonts w:ascii="Calibri" w:hAnsi="Calibri" w:cs="Calibri"/>
        </w:rPr>
      </w:pPr>
      <w:r w:rsidRPr="00557981">
        <w:rPr>
          <w:rFonts w:ascii="Calibri" w:hAnsi="Calibri" w:cs="Calibri"/>
        </w:rPr>
        <w:t>Children in the low-risk category for development of diabetes mellitus should have annual HbA1c check. (ungraded)</w:t>
      </w:r>
    </w:p>
    <w:p w14:paraId="0F9B6D1B" w14:textId="77777777" w:rsidR="00737A80" w:rsidRPr="00557981" w:rsidRDefault="00737A80">
      <w:pPr>
        <w:numPr>
          <w:ilvl w:val="0"/>
          <w:numId w:val="48"/>
        </w:numPr>
        <w:pBdr>
          <w:top w:val="nil"/>
          <w:left w:val="nil"/>
          <w:bottom w:val="nil"/>
          <w:right w:val="nil"/>
          <w:between w:val="nil"/>
          <w:bar w:val="nil"/>
        </w:pBdr>
        <w:spacing w:line="276" w:lineRule="auto"/>
        <w:jc w:val="both"/>
        <w:rPr>
          <w:rFonts w:ascii="Calibri" w:hAnsi="Calibri" w:cs="Calibri"/>
        </w:rPr>
      </w:pPr>
      <w:r w:rsidRPr="00557981">
        <w:rPr>
          <w:rFonts w:ascii="Calibri" w:hAnsi="Calibri" w:cs="Calibri"/>
        </w:rPr>
        <w:t>All patients have three</w:t>
      </w:r>
      <w:r w:rsidRPr="00557981">
        <w:rPr>
          <w:rFonts w:ascii="Calibri" w:hAnsi="Calibri" w:cs="Calibri"/>
          <w:shd w:val="clear" w:color="auto" w:fill="FFFFFF"/>
        </w:rPr>
        <w:t xml:space="preserve"> monthly monitoring of HLA antibodies. (</w:t>
      </w:r>
      <w:r>
        <w:rPr>
          <w:rFonts w:ascii="Calibri" w:hAnsi="Calibri" w:cs="Calibri"/>
          <w:shd w:val="clear" w:color="auto" w:fill="FFFFFF"/>
        </w:rPr>
        <w:t>ungraded</w:t>
      </w:r>
      <w:r w:rsidRPr="00557981">
        <w:rPr>
          <w:rFonts w:ascii="Calibri" w:hAnsi="Calibri" w:cs="Calibri"/>
          <w:shd w:val="clear" w:color="auto" w:fill="FFFFFF"/>
        </w:rPr>
        <w:t>)</w:t>
      </w:r>
    </w:p>
    <w:p w14:paraId="58B558BC" w14:textId="77777777" w:rsidR="00737A80" w:rsidRPr="00557981" w:rsidRDefault="00737A80">
      <w:pPr>
        <w:numPr>
          <w:ilvl w:val="0"/>
          <w:numId w:val="48"/>
        </w:numPr>
        <w:pBdr>
          <w:top w:val="nil"/>
          <w:left w:val="nil"/>
          <w:bottom w:val="nil"/>
          <w:right w:val="nil"/>
          <w:between w:val="nil"/>
          <w:bar w:val="nil"/>
        </w:pBdr>
        <w:spacing w:line="276" w:lineRule="auto"/>
        <w:jc w:val="both"/>
        <w:rPr>
          <w:rFonts w:ascii="Calibri" w:hAnsi="Calibri" w:cs="Calibri"/>
        </w:rPr>
      </w:pPr>
      <w:r w:rsidRPr="00557981">
        <w:rPr>
          <w:rFonts w:ascii="Calibri" w:hAnsi="Calibri" w:cs="Calibri"/>
          <w:shd w:val="clear" w:color="auto" w:fill="FFFFFF"/>
        </w:rPr>
        <w:t xml:space="preserve">Growth and nutrition surveillance to be evaluated at each clinic visit. (1B) </w:t>
      </w:r>
    </w:p>
    <w:p w14:paraId="4019F96A" w14:textId="77777777" w:rsidR="00737A80" w:rsidRPr="00557981" w:rsidRDefault="00737A80">
      <w:pPr>
        <w:numPr>
          <w:ilvl w:val="0"/>
          <w:numId w:val="48"/>
        </w:numPr>
        <w:pBdr>
          <w:top w:val="nil"/>
          <w:left w:val="nil"/>
          <w:bottom w:val="nil"/>
          <w:right w:val="nil"/>
          <w:between w:val="nil"/>
          <w:bar w:val="nil"/>
        </w:pBdr>
        <w:spacing w:line="276" w:lineRule="auto"/>
        <w:jc w:val="both"/>
        <w:rPr>
          <w:rFonts w:ascii="Calibri" w:hAnsi="Calibri" w:cs="Calibri"/>
        </w:rPr>
      </w:pPr>
      <w:r w:rsidRPr="00557981">
        <w:rPr>
          <w:rFonts w:ascii="Calibri" w:hAnsi="Calibri" w:cs="Calibri"/>
        </w:rPr>
        <w:t>Completion of all vaccines according to national guidelines (except live vaccines if still taking or within three months of cessation of IS). (1B)</w:t>
      </w:r>
    </w:p>
    <w:p w14:paraId="3F823E89" w14:textId="77777777" w:rsidR="00737A80" w:rsidRPr="00557981" w:rsidRDefault="00737A80">
      <w:pPr>
        <w:numPr>
          <w:ilvl w:val="0"/>
          <w:numId w:val="48"/>
        </w:numPr>
        <w:pBdr>
          <w:top w:val="nil"/>
          <w:left w:val="nil"/>
          <w:bottom w:val="nil"/>
          <w:right w:val="nil"/>
          <w:between w:val="nil"/>
          <w:bar w:val="nil"/>
        </w:pBdr>
        <w:spacing w:line="276" w:lineRule="auto"/>
        <w:jc w:val="both"/>
        <w:rPr>
          <w:rFonts w:ascii="Calibri" w:hAnsi="Calibri" w:cs="Calibri"/>
        </w:rPr>
      </w:pPr>
      <w:r>
        <w:rPr>
          <w:rFonts w:ascii="Calibri" w:hAnsi="Calibri" w:cs="Calibri"/>
        </w:rPr>
        <w:t xml:space="preserve">If indicated, recipients receive an annual </w:t>
      </w:r>
      <w:r w:rsidRPr="00557981">
        <w:rPr>
          <w:rFonts w:ascii="Calibri" w:hAnsi="Calibri" w:cs="Calibri"/>
        </w:rPr>
        <w:t xml:space="preserve">review by the bladder/urology teams with regular bladder function assessments. (1D) </w:t>
      </w:r>
    </w:p>
    <w:p w14:paraId="02A5DE3F" w14:textId="77777777" w:rsidR="00737A80" w:rsidRPr="00737A80" w:rsidRDefault="00737A80" w:rsidP="006C2248">
      <w:pPr>
        <w:rPr>
          <w:rFonts w:eastAsia="Calibri"/>
          <w:shd w:val="clear" w:color="auto" w:fill="FFFFFF"/>
        </w:rPr>
      </w:pPr>
      <w:r w:rsidRPr="00737A80">
        <w:rPr>
          <w:shd w:val="clear" w:color="auto" w:fill="FFFFFF"/>
        </w:rPr>
        <w:t>We suggest that:</w:t>
      </w:r>
    </w:p>
    <w:p w14:paraId="304BCD83" w14:textId="77777777" w:rsidR="00737A80" w:rsidRPr="00557981" w:rsidRDefault="00737A80" w:rsidP="00346D2E">
      <w:pPr>
        <w:pStyle w:val="ListParagraph"/>
        <w:numPr>
          <w:ilvl w:val="0"/>
          <w:numId w:val="51"/>
        </w:numPr>
      </w:pPr>
      <w:r w:rsidRPr="00557981">
        <w:t>The back of the hand should be used for phlebotomy where possible to allow preservation of limb and central vasculature for future use. (1C)</w:t>
      </w:r>
    </w:p>
    <w:p w14:paraId="6717DE07" w14:textId="77777777" w:rsidR="00737A80" w:rsidRPr="00557981" w:rsidRDefault="00737A80" w:rsidP="00346D2E">
      <w:pPr>
        <w:pStyle w:val="ListParagraph"/>
        <w:numPr>
          <w:ilvl w:val="0"/>
          <w:numId w:val="51"/>
        </w:numPr>
      </w:pPr>
      <w:r w:rsidRPr="00557981">
        <w:t xml:space="preserve">Early consideration for arterio-venous fistula for those patients approaching dialysis. (1D) </w:t>
      </w:r>
    </w:p>
    <w:p w14:paraId="19AD8F4F" w14:textId="77777777" w:rsidR="00737A80" w:rsidRPr="00557981" w:rsidRDefault="00737A80" w:rsidP="00346D2E">
      <w:pPr>
        <w:pStyle w:val="ListParagraph"/>
        <w:numPr>
          <w:ilvl w:val="0"/>
          <w:numId w:val="51"/>
        </w:numPr>
      </w:pPr>
      <w:r w:rsidRPr="00557981">
        <w:t>Proteinuria is monitored three monthly. (1C)</w:t>
      </w:r>
    </w:p>
    <w:p w14:paraId="325F783B" w14:textId="77777777" w:rsidR="00737A80" w:rsidRPr="00557981" w:rsidRDefault="00737A80" w:rsidP="00346D2E">
      <w:pPr>
        <w:pStyle w:val="ListParagraph"/>
        <w:numPr>
          <w:ilvl w:val="0"/>
          <w:numId w:val="51"/>
        </w:numPr>
      </w:pPr>
      <w:r w:rsidRPr="00557981">
        <w:lastRenderedPageBreak/>
        <w:t>An individualised approach to each patient based on HLA sensitisation, origin of next kidney (deceased or living), cause of previous allograft loss and underlying etiology of end-stage kidney disease. (ungraded)</w:t>
      </w:r>
    </w:p>
    <w:p w14:paraId="1394418F" w14:textId="2F411A40" w:rsidR="00737A80" w:rsidRPr="00737A80" w:rsidRDefault="00737A80" w:rsidP="006C2248">
      <w:pPr>
        <w:spacing w:line="276" w:lineRule="auto"/>
        <w:rPr>
          <w:rFonts w:eastAsia="Calibri"/>
          <w:shd w:val="clear" w:color="auto" w:fill="FFFFFF"/>
        </w:rPr>
      </w:pPr>
      <w:r w:rsidRPr="00737A80">
        <w:rPr>
          <w:shd w:val="clear" w:color="auto" w:fill="FFFFFF"/>
        </w:rPr>
        <w:t>Suggestions for Future Research:</w:t>
      </w:r>
    </w:p>
    <w:p w14:paraId="39A3C16C" w14:textId="77777777" w:rsidR="00737A80" w:rsidRPr="00557981" w:rsidRDefault="00737A80" w:rsidP="00346D2E">
      <w:pPr>
        <w:pStyle w:val="ListParagraph"/>
        <w:numPr>
          <w:ilvl w:val="0"/>
          <w:numId w:val="52"/>
        </w:numPr>
      </w:pPr>
      <w:r w:rsidRPr="006C2248">
        <w:rPr>
          <w:shd w:val="clear" w:color="auto" w:fill="FFFFFF"/>
        </w:rPr>
        <w:t>What is the effect on sensitisation of complete IS withdrawal +/- nephrectomy compared to continuation of maintenance IS +/- nephrectomy?</w:t>
      </w:r>
    </w:p>
    <w:p w14:paraId="5A402818" w14:textId="7F187683" w:rsidR="00737A80" w:rsidRPr="00557981" w:rsidRDefault="00737A80" w:rsidP="00346D2E">
      <w:pPr>
        <w:pStyle w:val="ListParagraph"/>
        <w:numPr>
          <w:ilvl w:val="0"/>
          <w:numId w:val="52"/>
        </w:numPr>
      </w:pPr>
      <w:r w:rsidRPr="006C2248">
        <w:rPr>
          <w:shd w:val="clear" w:color="auto" w:fill="FFFFFF"/>
        </w:rPr>
        <w:t>What is the effect on sensitisation of continuing calcineurin inhibitor (CNI) + anti-metabolite compared to CNI monotherapy</w:t>
      </w:r>
      <w:r w:rsidR="00F00B65" w:rsidRPr="006C2248">
        <w:rPr>
          <w:shd w:val="clear" w:color="auto" w:fill="FFFFFF"/>
        </w:rPr>
        <w:t>?</w:t>
      </w:r>
    </w:p>
    <w:p w14:paraId="52B50FEC" w14:textId="26F4A906" w:rsidR="00737A80" w:rsidRDefault="00737A80" w:rsidP="00737A80">
      <w:pPr>
        <w:pStyle w:val="Heading2"/>
      </w:pPr>
      <w:bookmarkStart w:id="70" w:name="_Toc128329976"/>
      <w:r>
        <w:t>Rationale</w:t>
      </w:r>
      <w:bookmarkEnd w:id="70"/>
    </w:p>
    <w:p w14:paraId="6A4F1515" w14:textId="6F98C471" w:rsidR="00737A80" w:rsidRPr="004D0DF4" w:rsidRDefault="00737A80" w:rsidP="00737A80">
      <w:pPr>
        <w:pStyle w:val="Heading3"/>
      </w:pPr>
      <w:bookmarkStart w:id="71" w:name="_Toc128329977"/>
      <w:r>
        <w:t xml:space="preserve">5.1 </w:t>
      </w:r>
      <w:r w:rsidRPr="004D0DF4">
        <w:t>Introduction</w:t>
      </w:r>
      <w:bookmarkEnd w:id="71"/>
    </w:p>
    <w:p w14:paraId="76E8A3D6" w14:textId="77777777" w:rsidR="00737A80" w:rsidRPr="00557981" w:rsidRDefault="00737A80" w:rsidP="006C2248">
      <w:pPr>
        <w:spacing w:line="276" w:lineRule="auto"/>
        <w:jc w:val="both"/>
        <w:rPr>
          <w:rFonts w:eastAsia="Calibri"/>
        </w:rPr>
      </w:pPr>
      <w:r w:rsidRPr="00557981">
        <w:t xml:space="preserve">There are no current guidelines nor recommendations for the management of </w:t>
      </w:r>
      <w:r>
        <w:t>paediatric recipients</w:t>
      </w:r>
      <w:r w:rsidRPr="00557981">
        <w:t xml:space="preserve"> with a failing kidney transplant. </w:t>
      </w:r>
      <w:r>
        <w:t>Compared to adult recipients, the management of c</w:t>
      </w:r>
      <w:r w:rsidRPr="00557981">
        <w:t xml:space="preserve">hildren and adolescents with a kidney transplant </w:t>
      </w:r>
      <w:r>
        <w:t>involves additional considerations</w:t>
      </w:r>
      <w:r w:rsidRPr="00557981">
        <w:t>, and these can become more apparent should the transplant function decline. A child or adolescent with a failing transplant faces unique developmental and psychosocial challenges in addition to their medical management</w:t>
      </w:r>
      <w:r w:rsidRPr="00557981">
        <w:rPr>
          <w:vertAlign w:val="superscript"/>
        </w:rPr>
        <w:t>1</w:t>
      </w:r>
      <w:r w:rsidRPr="00557981">
        <w:t>.</w:t>
      </w:r>
    </w:p>
    <w:p w14:paraId="55E24772" w14:textId="6A4710A0" w:rsidR="00737A80" w:rsidRPr="00557981" w:rsidRDefault="00737A80" w:rsidP="006C2248">
      <w:pPr>
        <w:spacing w:line="276" w:lineRule="auto"/>
        <w:jc w:val="both"/>
        <w:rPr>
          <w:rFonts w:eastAsia="Calibri"/>
        </w:rPr>
      </w:pPr>
      <w:r w:rsidRPr="00557981">
        <w:t>The leading causes of end stage kidney disease (ESKD) in childhood differ substantially from those in adults and may also be relevant when considering the cause of transplant failure. The most common causes of ESKD (approximately 40%) are Congenital Anomalies of the Kidney and Urinary Tract (CAKUT, including posterior urethral valves and renal dysplasia with or without vesico-ureteric reflux</w:t>
      </w:r>
      <w:r w:rsidR="00F00B65">
        <w:t>, VUR</w:t>
      </w:r>
      <w:r w:rsidRPr="00557981">
        <w:t>)</w:t>
      </w:r>
      <w:r w:rsidRPr="00557981">
        <w:rPr>
          <w:vertAlign w:val="superscript"/>
        </w:rPr>
        <w:t>2</w:t>
      </w:r>
      <w:r w:rsidRPr="00557981">
        <w:t xml:space="preserve">. Hereditary kidney diseases are also a significant cause, including polycystic kidney disease, nephronophthisis, cystinosis, congenital nephrotic syndrome, primary hyperoxaluria, atypical haemolytic uraemic syndrome (aHUS), some glomerulopathies and familial focal segmental glomerulosclerosis (FSGS).  </w:t>
      </w:r>
    </w:p>
    <w:p w14:paraId="64DBC03F" w14:textId="68876F15" w:rsidR="00737A80" w:rsidRPr="00557981" w:rsidRDefault="00737A80" w:rsidP="00737A80">
      <w:pPr>
        <w:pStyle w:val="Heading4"/>
        <w:rPr>
          <w:rFonts w:eastAsia="Calibri"/>
        </w:rPr>
      </w:pPr>
      <w:bookmarkStart w:id="72" w:name="_Toc128329978"/>
      <w:r>
        <w:t>5.</w:t>
      </w:r>
      <w:r w:rsidRPr="00557981">
        <w:t xml:space="preserve">1.1 </w:t>
      </w:r>
      <w:r w:rsidR="00F00B65">
        <w:tab/>
      </w:r>
      <w:r w:rsidRPr="00557981">
        <w:t>Defining a failing graft</w:t>
      </w:r>
      <w:bookmarkEnd w:id="72"/>
    </w:p>
    <w:p w14:paraId="5D6B16F0" w14:textId="77777777" w:rsidR="00737A80" w:rsidRPr="00557981" w:rsidRDefault="00737A80" w:rsidP="006C2248">
      <w:pPr>
        <w:jc w:val="both"/>
        <w:rPr>
          <w:rFonts w:eastAsia="Calibri"/>
        </w:rPr>
      </w:pPr>
      <w:r w:rsidRPr="00557981">
        <w:t>There is no unifying definition of when the allograft is failing. Some propose that this is defined at the point that the patient restarts dialysis. Most transplant professionals would consider an allograft to be failing once the estimated GFR is less than 20 ml/minute/1.73m</w:t>
      </w:r>
      <w:r w:rsidRPr="00557981">
        <w:rPr>
          <w:vertAlign w:val="superscript"/>
        </w:rPr>
        <w:t>2</w:t>
      </w:r>
      <w:r w:rsidRPr="00557981">
        <w:t xml:space="preserve"> with some making the argument for it being below 25 ml/minute/1.73m</w:t>
      </w:r>
      <w:r w:rsidRPr="00557981">
        <w:rPr>
          <w:vertAlign w:val="superscript"/>
        </w:rPr>
        <w:t>2</w:t>
      </w:r>
      <w:r w:rsidRPr="00557981">
        <w:t>. Regardless of which definition is used, children and adolescents with a failing kidney transplant need special considerations and a multidisciplinary approach.</w:t>
      </w:r>
    </w:p>
    <w:p w14:paraId="705BDE29" w14:textId="77777777" w:rsidR="00737A80" w:rsidRPr="00557981" w:rsidRDefault="00737A80" w:rsidP="006C2248">
      <w:pPr>
        <w:jc w:val="both"/>
        <w:rPr>
          <w:rFonts w:eastAsia="Calibri"/>
        </w:rPr>
      </w:pPr>
      <w:r w:rsidRPr="00557981">
        <w:t xml:space="preserve">For </w:t>
      </w:r>
      <w:proofErr w:type="gramStart"/>
      <w:r w:rsidRPr="00557981">
        <w:t xml:space="preserve">children in particular, </w:t>
      </w:r>
      <w:r>
        <w:t>a</w:t>
      </w:r>
      <w:proofErr w:type="gramEnd"/>
      <w:r>
        <w:t xml:space="preserve"> </w:t>
      </w:r>
      <w:r w:rsidRPr="00557981">
        <w:t>pre-emptive second kidney transplant should be considered the gold standard of care. This approach would reduce complications associated with dialysis and would allow children to maintain their education and social interactions which are of utmost importance in adolescence and young adulthood</w:t>
      </w:r>
      <w:r w:rsidRPr="00557981">
        <w:rPr>
          <w:vertAlign w:val="superscript"/>
        </w:rPr>
        <w:t>3</w:t>
      </w:r>
      <w:r w:rsidRPr="00557981">
        <w:t>.</w:t>
      </w:r>
    </w:p>
    <w:p w14:paraId="0F66B718" w14:textId="2EBD5D42" w:rsidR="00737A80" w:rsidRPr="00557981" w:rsidRDefault="00737A80" w:rsidP="00737A80">
      <w:pPr>
        <w:pStyle w:val="Heading4"/>
        <w:rPr>
          <w:rFonts w:eastAsia="Calibri"/>
          <w:color w:val="FF0000"/>
          <w:u w:color="FF0000"/>
        </w:rPr>
      </w:pPr>
      <w:bookmarkStart w:id="73" w:name="_Toc128329979"/>
      <w:r>
        <w:t>5.1.2</w:t>
      </w:r>
      <w:r w:rsidRPr="00557981">
        <w:t xml:space="preserve"> </w:t>
      </w:r>
      <w:r w:rsidR="00F00B65">
        <w:tab/>
      </w:r>
      <w:r w:rsidRPr="00557981">
        <w:t xml:space="preserve">Causes </w:t>
      </w:r>
      <w:r>
        <w:t>of graft failure</w:t>
      </w:r>
      <w:r w:rsidRPr="00557981">
        <w:t xml:space="preserve"> in children</w:t>
      </w:r>
      <w:bookmarkEnd w:id="73"/>
      <w:r w:rsidRPr="00557981">
        <w:t xml:space="preserve"> </w:t>
      </w:r>
    </w:p>
    <w:p w14:paraId="728AD248" w14:textId="050A1761" w:rsidR="00737A80" w:rsidRPr="00557981" w:rsidRDefault="00737A80" w:rsidP="006C2248">
      <w:pPr>
        <w:spacing w:line="276" w:lineRule="auto"/>
        <w:jc w:val="both"/>
        <w:rPr>
          <w:rFonts w:eastAsia="Calibri"/>
          <w:b/>
          <w:bCs/>
        </w:rPr>
      </w:pPr>
      <w:r w:rsidRPr="00557981">
        <w:t xml:space="preserve">In the UK, </w:t>
      </w:r>
      <w:r>
        <w:t xml:space="preserve">outcomes for paediatric </w:t>
      </w:r>
      <w:r w:rsidRPr="00557981">
        <w:t>kidney transplant recipients</w:t>
      </w:r>
      <w:r>
        <w:t xml:space="preserve"> (KTRs)</w:t>
      </w:r>
      <w:r w:rsidRPr="00557981">
        <w:t xml:space="preserve"> have improved significantly</w:t>
      </w:r>
      <w:r>
        <w:t xml:space="preserve"> over recent years</w:t>
      </w:r>
      <w:r w:rsidRPr="00557981">
        <w:t xml:space="preserve">, mainly because of improvements in surgical techniques leading to a reduction in early allograft loss. The youngest recipients are at the highest risk for graft failure in the early post-operative period. The reasons for this include vascular complications and thrombosis particularly in small recipients (weight less than 15kg at the time of transplant) due to the donor-recipient size mismatch or in recipients with pre-existing vascular abnormalities (absence of the main vessels including aorta or inferior vena cava). Additionally, advances in </w:t>
      </w:r>
      <w:r>
        <w:t>IS</w:t>
      </w:r>
      <w:r w:rsidRPr="00557981">
        <w:t xml:space="preserve"> regimens, improvements in HLA matching, </w:t>
      </w:r>
      <w:r w:rsidRPr="00557981">
        <w:lastRenderedPageBreak/>
        <w:t xml:space="preserve">treatment of recurrent disease and reduction in cold ischaemia time have all contributed to the improvements in allograft survival. However, as in adults, the </w:t>
      </w:r>
      <w:proofErr w:type="gramStart"/>
      <w:r w:rsidRPr="00557981">
        <w:t>most commonly reported</w:t>
      </w:r>
      <w:proofErr w:type="gramEnd"/>
      <w:r w:rsidRPr="00557981">
        <w:t xml:space="preserve"> cause of graft loss after the first year among </w:t>
      </w:r>
      <w:r>
        <w:t>paediatric KTR</w:t>
      </w:r>
      <w:r w:rsidRPr="00557981">
        <w:t>s</w:t>
      </w:r>
      <w:r>
        <w:t xml:space="preserve"> </w:t>
      </w:r>
      <w:r w:rsidRPr="00557981">
        <w:t>is chronic allograft injury</w:t>
      </w:r>
      <w:r w:rsidRPr="00557981">
        <w:rPr>
          <w:vertAlign w:val="superscript"/>
        </w:rPr>
        <w:t>4</w:t>
      </w:r>
      <w:r w:rsidRPr="00557981">
        <w:t>.</w:t>
      </w:r>
    </w:p>
    <w:p w14:paraId="52B207B2" w14:textId="2072474C" w:rsidR="00737A80" w:rsidRPr="00557981" w:rsidRDefault="00737A80" w:rsidP="006C2248">
      <w:pPr>
        <w:spacing w:line="276" w:lineRule="auto"/>
        <w:jc w:val="both"/>
        <w:rPr>
          <w:rFonts w:eastAsia="Calibri"/>
          <w:i/>
          <w:iCs/>
        </w:rPr>
      </w:pPr>
      <w:r w:rsidRPr="00557981">
        <w:t>Recurrence of primary diseases remains a risk for patients with non-genetic focal segmental glomerulosclerosis, m</w:t>
      </w:r>
      <w:r w:rsidR="00E315D5">
        <w:t>esangiocapillary</w:t>
      </w:r>
      <w:r w:rsidRPr="00557981">
        <w:t xml:space="preserve"> glomerulonephritis (M</w:t>
      </w:r>
      <w:r w:rsidR="00E315D5">
        <w:t>C</w:t>
      </w:r>
      <w:r w:rsidRPr="00557981">
        <w:t xml:space="preserve">GN), </w:t>
      </w:r>
      <w:r>
        <w:t>aHUS</w:t>
      </w:r>
      <w:r w:rsidRPr="00557981">
        <w:t>, primary hyperoxaluria and rarely with membranous nephropathy</w:t>
      </w:r>
      <w:r w:rsidRPr="00557981">
        <w:rPr>
          <w:vertAlign w:val="superscript"/>
        </w:rPr>
        <w:t>5</w:t>
      </w:r>
      <w:r w:rsidRPr="00557981">
        <w:t>. In comparison with patients with CAKUT (risk 14.4%), the 5- year risk of graft loss was significantly higher in patients with FSGS (25.7%) and M</w:t>
      </w:r>
      <w:r w:rsidR="00E315D5">
        <w:t>C</w:t>
      </w:r>
      <w:r w:rsidRPr="00557981">
        <w:t>GN (32.4%)</w:t>
      </w:r>
      <w:r w:rsidRPr="00557981">
        <w:rPr>
          <w:vertAlign w:val="superscript"/>
        </w:rPr>
        <w:t>6,7</w:t>
      </w:r>
      <w:r w:rsidRPr="00557981">
        <w:t>.</w:t>
      </w:r>
      <w:r w:rsidRPr="00557981">
        <w:rPr>
          <w:i/>
          <w:iCs/>
        </w:rPr>
        <w:t xml:space="preserve"> </w:t>
      </w:r>
    </w:p>
    <w:p w14:paraId="12DE151A" w14:textId="77777777" w:rsidR="00737A80" w:rsidRPr="00557981" w:rsidRDefault="00737A80" w:rsidP="006C2248">
      <w:pPr>
        <w:spacing w:line="276" w:lineRule="auto"/>
        <w:jc w:val="both"/>
        <w:rPr>
          <w:rFonts w:eastAsia="Calibri"/>
          <w:b/>
          <w:bCs/>
        </w:rPr>
      </w:pPr>
      <w:r w:rsidRPr="00557981">
        <w:t>Medication non-adherence is a leading cause of allograft loss in adolescents.  The poorest allograft survival outcomes are among adolescents who have received a kidney transplant after long</w:t>
      </w:r>
      <w:r>
        <w:t>-</w:t>
      </w:r>
      <w:r w:rsidRPr="00557981">
        <w:t>term dialysis</w:t>
      </w:r>
      <w:r w:rsidRPr="00557981">
        <w:rPr>
          <w:vertAlign w:val="superscript"/>
        </w:rPr>
        <w:t>8,9</w:t>
      </w:r>
      <w:r w:rsidRPr="00557981">
        <w:rPr>
          <w:b/>
          <w:bCs/>
        </w:rPr>
        <w:t>.</w:t>
      </w:r>
    </w:p>
    <w:p w14:paraId="6CDC4D53" w14:textId="77777777" w:rsidR="00737A80" w:rsidRPr="00557981" w:rsidRDefault="00737A80" w:rsidP="006C2248">
      <w:pPr>
        <w:spacing w:line="276" w:lineRule="auto"/>
        <w:jc w:val="both"/>
        <w:rPr>
          <w:rFonts w:eastAsia="Calibri"/>
        </w:rPr>
      </w:pPr>
      <w:r w:rsidRPr="00557981">
        <w:t>Despite significant advances in infection monitoring and management, various infections (recurrent urinary tract infections, EBV, BKVAN) remain important risk factors for allograft failure. Post-transplant lymphoproliferative disease and malignancy may also lead to graft loss.</w:t>
      </w:r>
    </w:p>
    <w:p w14:paraId="5A8F62E9" w14:textId="4355AC5B" w:rsidR="00737A80" w:rsidRPr="00557981" w:rsidRDefault="00737A80" w:rsidP="00737A80">
      <w:pPr>
        <w:pStyle w:val="Heading4"/>
        <w:rPr>
          <w:rFonts w:eastAsia="Calibri"/>
        </w:rPr>
      </w:pPr>
      <w:bookmarkStart w:id="74" w:name="_Toc128329980"/>
      <w:r>
        <w:t>5.</w:t>
      </w:r>
      <w:r w:rsidRPr="00557981">
        <w:t xml:space="preserve">1.3 </w:t>
      </w:r>
      <w:r w:rsidR="00F00B65">
        <w:tab/>
      </w:r>
      <w:r w:rsidRPr="00557981">
        <w:t>Epidemiology</w:t>
      </w:r>
      <w:bookmarkEnd w:id="74"/>
      <w:r w:rsidRPr="00557981">
        <w:t xml:space="preserve"> </w:t>
      </w:r>
    </w:p>
    <w:p w14:paraId="49D264ED" w14:textId="77777777" w:rsidR="00737A80" w:rsidRPr="00557981" w:rsidRDefault="00737A80" w:rsidP="006C2248">
      <w:pPr>
        <w:spacing w:line="276" w:lineRule="auto"/>
        <w:jc w:val="both"/>
        <w:rPr>
          <w:rFonts w:eastAsia="Calibri"/>
        </w:rPr>
      </w:pPr>
      <w:r w:rsidRPr="00557981">
        <w:t xml:space="preserve">All current renal registries for children only report outcomes for children with a functioning transplant and those on dialysis. There are no reports on the incidence and prevalence of paediatric </w:t>
      </w:r>
      <w:r>
        <w:t>KTR</w:t>
      </w:r>
      <w:r w:rsidRPr="00557981">
        <w:t>s with failing allografts, most likely due to the lack of a universal definition of a failing transplant in childhood.</w:t>
      </w:r>
    </w:p>
    <w:p w14:paraId="2776C199" w14:textId="650A92A2" w:rsidR="00737A80" w:rsidRPr="00557981" w:rsidRDefault="00737A80" w:rsidP="00737A80">
      <w:pPr>
        <w:pStyle w:val="Heading3"/>
      </w:pPr>
      <w:r w:rsidRPr="00557981">
        <w:t xml:space="preserve"> </w:t>
      </w:r>
      <w:bookmarkStart w:id="75" w:name="_Toc128329981"/>
      <w:r>
        <w:t xml:space="preserve">5.2 </w:t>
      </w:r>
      <w:r w:rsidRPr="00557981">
        <w:t>Overall aims for the management of CKD (T)</w:t>
      </w:r>
      <w:bookmarkEnd w:id="75"/>
    </w:p>
    <w:p w14:paraId="11EDDAD5" w14:textId="4A857ED9" w:rsidR="00737A80" w:rsidRPr="00557981" w:rsidRDefault="00737A80" w:rsidP="006C2248">
      <w:pPr>
        <w:spacing w:line="276" w:lineRule="auto"/>
        <w:jc w:val="both"/>
        <w:rPr>
          <w:rFonts w:eastAsia="Calibri"/>
        </w:rPr>
      </w:pPr>
      <w:r>
        <w:t>T</w:t>
      </w:r>
      <w:r w:rsidRPr="00557981">
        <w:t>he overall aims of the management of children with CKD (T) are to:</w:t>
      </w:r>
    </w:p>
    <w:p w14:paraId="6CF0E575" w14:textId="32E5A1F4" w:rsidR="00737A80" w:rsidRPr="00557981" w:rsidRDefault="00737A80" w:rsidP="00346D2E">
      <w:pPr>
        <w:pStyle w:val="ListParagraph"/>
        <w:numPr>
          <w:ilvl w:val="0"/>
          <w:numId w:val="53"/>
        </w:numPr>
      </w:pPr>
      <w:r>
        <w:t>S</w:t>
      </w:r>
      <w:r w:rsidRPr="00557981">
        <w:t xml:space="preserve">low progression of </w:t>
      </w:r>
      <w:r>
        <w:t xml:space="preserve">kidney </w:t>
      </w:r>
      <w:r w:rsidRPr="00557981">
        <w:t>dysfunction</w:t>
      </w:r>
      <w:r>
        <w:t>.</w:t>
      </w:r>
    </w:p>
    <w:p w14:paraId="709FAFAA" w14:textId="0A4833FC" w:rsidR="00737A80" w:rsidRPr="00557981" w:rsidRDefault="00737A80" w:rsidP="00346D2E">
      <w:pPr>
        <w:pStyle w:val="ListParagraph"/>
        <w:numPr>
          <w:ilvl w:val="0"/>
          <w:numId w:val="53"/>
        </w:numPr>
      </w:pPr>
      <w:r>
        <w:t>M</w:t>
      </w:r>
      <w:r w:rsidRPr="00557981">
        <w:t>aintain fluid and electrolyte balance</w:t>
      </w:r>
      <w:r>
        <w:t>.</w:t>
      </w:r>
    </w:p>
    <w:p w14:paraId="3922F7D5" w14:textId="71CA5C68" w:rsidR="00737A80" w:rsidRPr="00557981" w:rsidRDefault="00737A80" w:rsidP="00346D2E">
      <w:pPr>
        <w:pStyle w:val="ListParagraph"/>
        <w:numPr>
          <w:ilvl w:val="0"/>
          <w:numId w:val="53"/>
        </w:numPr>
      </w:pPr>
      <w:r>
        <w:t>A</w:t>
      </w:r>
      <w:r w:rsidRPr="00557981">
        <w:t>llow adequate physical growth and psychosocial development</w:t>
      </w:r>
      <w:r>
        <w:t>.</w:t>
      </w:r>
    </w:p>
    <w:p w14:paraId="0D8A6F96" w14:textId="7B47F16C" w:rsidR="00737A80" w:rsidRPr="00557981" w:rsidRDefault="00737A80" w:rsidP="00346D2E">
      <w:pPr>
        <w:pStyle w:val="ListParagraph"/>
        <w:numPr>
          <w:ilvl w:val="0"/>
          <w:numId w:val="53"/>
        </w:numPr>
      </w:pPr>
      <w:r>
        <w:t>M</w:t>
      </w:r>
      <w:r w:rsidRPr="00557981">
        <w:t>aintain mineral bone homeostasis</w:t>
      </w:r>
      <w:r>
        <w:t>.</w:t>
      </w:r>
    </w:p>
    <w:p w14:paraId="12E792BB" w14:textId="77777777" w:rsidR="00737A80" w:rsidRPr="00557981" w:rsidRDefault="00737A80" w:rsidP="006C2248">
      <w:pPr>
        <w:spacing w:line="276" w:lineRule="auto"/>
        <w:jc w:val="both"/>
        <w:rPr>
          <w:rFonts w:eastAsia="Calibri"/>
        </w:rPr>
      </w:pPr>
      <w:r w:rsidRPr="00557981">
        <w:t>It is also imperative to preserve limb and central vasculature as much as possible, to ensure adequate options for haemodialysis if required.</w:t>
      </w:r>
    </w:p>
    <w:p w14:paraId="58F4BD1D" w14:textId="77777777" w:rsidR="00737A80" w:rsidRPr="00557981" w:rsidRDefault="00737A80" w:rsidP="006C2248">
      <w:pPr>
        <w:spacing w:line="276" w:lineRule="auto"/>
        <w:jc w:val="both"/>
        <w:rPr>
          <w:rFonts w:eastAsia="Calibri"/>
        </w:rPr>
      </w:pPr>
      <w:r w:rsidRPr="00557981">
        <w:t xml:space="preserve">Special considerations which should be tailored to each patient’s individual needs are discussed below. </w:t>
      </w:r>
    </w:p>
    <w:p w14:paraId="4007EFAE" w14:textId="48C1FDEB" w:rsidR="00737A80" w:rsidRPr="00557981" w:rsidRDefault="00737A80" w:rsidP="00737A80">
      <w:pPr>
        <w:pStyle w:val="Heading4"/>
        <w:rPr>
          <w:rFonts w:eastAsia="Calibri"/>
        </w:rPr>
      </w:pPr>
      <w:bookmarkStart w:id="76" w:name="_Toc128329982"/>
      <w:r>
        <w:t>5.</w:t>
      </w:r>
      <w:r w:rsidRPr="00557981">
        <w:t xml:space="preserve">2.1 </w:t>
      </w:r>
      <w:r w:rsidR="00F00B65">
        <w:tab/>
      </w:r>
      <w:r w:rsidRPr="00557981">
        <w:t>Hypertension and cardiovascular disease</w:t>
      </w:r>
      <w:bookmarkEnd w:id="76"/>
      <w:r w:rsidRPr="00557981">
        <w:t xml:space="preserve"> </w:t>
      </w:r>
    </w:p>
    <w:p w14:paraId="0B82C081" w14:textId="77777777" w:rsidR="00737A80" w:rsidRPr="00557981" w:rsidRDefault="00737A80" w:rsidP="006C2248">
      <w:pPr>
        <w:spacing w:line="276" w:lineRule="auto"/>
        <w:jc w:val="both"/>
        <w:rPr>
          <w:rFonts w:eastAsia="Calibri"/>
          <w:lang w:val="en-US"/>
        </w:rPr>
      </w:pPr>
      <w:r w:rsidRPr="00557981">
        <w:rPr>
          <w:lang w:val="en-US"/>
        </w:rPr>
        <w:t xml:space="preserve">Hypertension after kidney transplantation is a frequent occurrence in paediatric </w:t>
      </w:r>
      <w:r>
        <w:rPr>
          <w:lang w:val="en-US"/>
        </w:rPr>
        <w:t>KTR</w:t>
      </w:r>
      <w:r w:rsidRPr="00557981">
        <w:rPr>
          <w:lang w:val="en-US"/>
        </w:rPr>
        <w:t xml:space="preserve">s. </w:t>
      </w:r>
      <w:r>
        <w:rPr>
          <w:lang w:val="en-US"/>
        </w:rPr>
        <w:t>The etiology is</w:t>
      </w:r>
      <w:r w:rsidRPr="00557981">
        <w:rPr>
          <w:lang w:val="en-US"/>
        </w:rPr>
        <w:t xml:space="preserve"> multifactorial, and</w:t>
      </w:r>
      <w:r>
        <w:rPr>
          <w:lang w:val="en-US"/>
        </w:rPr>
        <w:t xml:space="preserve"> it</w:t>
      </w:r>
      <w:r w:rsidRPr="00557981">
        <w:rPr>
          <w:lang w:val="en-US"/>
        </w:rPr>
        <w:t xml:space="preserve"> is an established independent risk factor for a decline in allograft function and loss. As </w:t>
      </w:r>
      <w:r>
        <w:rPr>
          <w:lang w:val="en-US"/>
        </w:rPr>
        <w:t>hypertension</w:t>
      </w:r>
      <w:r w:rsidRPr="00557981">
        <w:rPr>
          <w:lang w:val="en-US"/>
        </w:rPr>
        <w:t xml:space="preserve"> contributes to a significant burden of cardiovascular disease (CVD)-related morbidity and mortality in this population, it is essential that it is diagnosed early and treated appropriately</w:t>
      </w:r>
      <w:r w:rsidRPr="00557981">
        <w:rPr>
          <w:vertAlign w:val="superscript"/>
          <w:lang w:val="en-US"/>
        </w:rPr>
        <w:t>10</w:t>
      </w:r>
      <w:r w:rsidRPr="00557981">
        <w:rPr>
          <w:lang w:val="en-US"/>
        </w:rPr>
        <w:t xml:space="preserve">. With progressive allograft dysfunction, the risk for </w:t>
      </w:r>
      <w:r>
        <w:rPr>
          <w:lang w:val="en-US"/>
        </w:rPr>
        <w:t xml:space="preserve">salt and water retention and </w:t>
      </w:r>
      <w:r w:rsidRPr="00557981">
        <w:rPr>
          <w:lang w:val="en-US"/>
        </w:rPr>
        <w:t xml:space="preserve">hypertension increases. </w:t>
      </w:r>
    </w:p>
    <w:p w14:paraId="321FC39F" w14:textId="77777777" w:rsidR="00737A80" w:rsidRPr="00557981" w:rsidRDefault="00737A80" w:rsidP="006C2248">
      <w:pPr>
        <w:spacing w:line="276" w:lineRule="auto"/>
        <w:jc w:val="both"/>
        <w:rPr>
          <w:rFonts w:eastAsia="Calibri"/>
          <w:lang w:val="en-US"/>
        </w:rPr>
      </w:pPr>
      <w:r w:rsidRPr="00557981">
        <w:rPr>
          <w:lang w:val="en-US"/>
        </w:rPr>
        <w:t>We recommend:</w:t>
      </w:r>
    </w:p>
    <w:p w14:paraId="07A06B6E" w14:textId="32E44DB4" w:rsidR="00737A80" w:rsidRPr="006C2248" w:rsidRDefault="00737A80" w:rsidP="00346D2E">
      <w:pPr>
        <w:pStyle w:val="ListParagraph"/>
        <w:rPr>
          <w:lang w:val="en-US"/>
        </w:rPr>
      </w:pPr>
      <w:r w:rsidRPr="006C2248">
        <w:rPr>
          <w:lang w:val="en-US"/>
        </w:rPr>
        <w:t>Blood pressure surveillance</w:t>
      </w:r>
      <w:r w:rsidRPr="006C2248">
        <w:rPr>
          <w:vertAlign w:val="superscript"/>
          <w:lang w:val="en-US"/>
        </w:rPr>
        <w:t>11,12</w:t>
      </w:r>
      <w:r w:rsidRPr="006C2248">
        <w:rPr>
          <w:lang w:val="en-US"/>
        </w:rPr>
        <w:t>:</w:t>
      </w:r>
    </w:p>
    <w:p w14:paraId="30460512" w14:textId="093CEDE9" w:rsidR="00737A80" w:rsidRPr="006C2248" w:rsidRDefault="00737A80" w:rsidP="00346D2E">
      <w:pPr>
        <w:pStyle w:val="ListParagraph"/>
        <w:numPr>
          <w:ilvl w:val="0"/>
          <w:numId w:val="55"/>
        </w:numPr>
        <w:rPr>
          <w:rFonts w:eastAsia="Calibri"/>
          <w:lang w:val="en-US"/>
        </w:rPr>
      </w:pPr>
      <w:r w:rsidRPr="006C2248">
        <w:rPr>
          <w:lang w:val="en-US"/>
        </w:rPr>
        <w:t xml:space="preserve">Evaluation for symptomatic consequences of high blood pressure including headaches and visual symptoms. </w:t>
      </w:r>
    </w:p>
    <w:p w14:paraId="093D6087" w14:textId="017FC37D" w:rsidR="00737A80" w:rsidRPr="006C2248" w:rsidRDefault="00737A80" w:rsidP="00346D2E">
      <w:pPr>
        <w:pStyle w:val="ListParagraph"/>
        <w:numPr>
          <w:ilvl w:val="0"/>
          <w:numId w:val="55"/>
        </w:numPr>
        <w:rPr>
          <w:lang w:val="en-US"/>
        </w:rPr>
      </w:pPr>
      <w:r w:rsidRPr="006C2248">
        <w:rPr>
          <w:lang w:val="en-US"/>
        </w:rPr>
        <w:t>Blood pressure measurement at each clinical encounter.</w:t>
      </w:r>
    </w:p>
    <w:p w14:paraId="12ACDE7B" w14:textId="1D7B3C99" w:rsidR="00737A80" w:rsidRPr="006C2248" w:rsidRDefault="00737A80" w:rsidP="00346D2E">
      <w:pPr>
        <w:pStyle w:val="ListParagraph"/>
        <w:numPr>
          <w:ilvl w:val="0"/>
          <w:numId w:val="55"/>
        </w:numPr>
        <w:rPr>
          <w:rFonts w:eastAsia="Calibri"/>
          <w:lang w:val="en-US"/>
        </w:rPr>
      </w:pPr>
      <w:r w:rsidRPr="006C2248">
        <w:rPr>
          <w:lang w:val="en-US"/>
        </w:rPr>
        <w:lastRenderedPageBreak/>
        <w:t>Use of centile charts based on American Academy of Paediatrics Hypertension Guideline from 2017.</w:t>
      </w:r>
    </w:p>
    <w:p w14:paraId="0CDFDA72" w14:textId="1BD0772D" w:rsidR="00737A80" w:rsidRPr="006C2248" w:rsidRDefault="00737A80" w:rsidP="00346D2E">
      <w:pPr>
        <w:pStyle w:val="ListParagraph"/>
        <w:numPr>
          <w:ilvl w:val="0"/>
          <w:numId w:val="55"/>
        </w:numPr>
        <w:rPr>
          <w:lang w:val="en-US"/>
        </w:rPr>
      </w:pPr>
      <w:r w:rsidRPr="006C2248">
        <w:rPr>
          <w:lang w:val="en-US"/>
        </w:rPr>
        <w:t xml:space="preserve">24-hour ambulatory blood pressure monitoring (ABPM) to identify and monitor hypertension with ongoing annual surveillance. Patients younger than 5 years of age might need day admission to have serial BP checked as are unlikely to tolerate 24-hour ABPM. </w:t>
      </w:r>
    </w:p>
    <w:p w14:paraId="02CBFF04" w14:textId="2778C42A" w:rsidR="00737A80" w:rsidRPr="006C2248" w:rsidRDefault="00737A80" w:rsidP="00346D2E">
      <w:pPr>
        <w:pStyle w:val="ListParagraph"/>
        <w:numPr>
          <w:ilvl w:val="0"/>
          <w:numId w:val="55"/>
        </w:numPr>
        <w:rPr>
          <w:rFonts w:eastAsia="Calibri"/>
          <w:lang w:val="en-US"/>
        </w:rPr>
      </w:pPr>
      <w:r w:rsidRPr="006C2248">
        <w:rPr>
          <w:lang w:val="en-US"/>
        </w:rPr>
        <w:t xml:space="preserve">Patients with established hypertension should also have annual surveillance with an echocardiogram. </w:t>
      </w:r>
    </w:p>
    <w:p w14:paraId="6702E763" w14:textId="4679D943" w:rsidR="00737A80" w:rsidRPr="006C2248" w:rsidRDefault="00737A80" w:rsidP="00346D2E">
      <w:pPr>
        <w:pStyle w:val="ListParagraph"/>
        <w:rPr>
          <w:lang w:val="en-US"/>
        </w:rPr>
      </w:pPr>
      <w:r w:rsidRPr="006C2248">
        <w:rPr>
          <w:lang w:val="en-US"/>
        </w:rPr>
        <w:t>Hypertension management</w:t>
      </w:r>
      <w:r w:rsidRPr="006C2248">
        <w:rPr>
          <w:vertAlign w:val="superscript"/>
          <w:lang w:val="en-US"/>
        </w:rPr>
        <w:t>13</w:t>
      </w:r>
      <w:r w:rsidRPr="006C2248">
        <w:rPr>
          <w:lang w:val="en-US"/>
        </w:rPr>
        <w:t>:</w:t>
      </w:r>
    </w:p>
    <w:p w14:paraId="75739DE0" w14:textId="31707C25" w:rsidR="00737A80" w:rsidRPr="006C2248" w:rsidRDefault="00737A80" w:rsidP="00346D2E">
      <w:pPr>
        <w:pStyle w:val="ListParagraph"/>
        <w:numPr>
          <w:ilvl w:val="0"/>
          <w:numId w:val="56"/>
        </w:numPr>
        <w:rPr>
          <w:lang w:val="en-US"/>
        </w:rPr>
      </w:pPr>
      <w:r w:rsidRPr="006C2248">
        <w:rPr>
          <w:lang w:val="en-US"/>
        </w:rPr>
        <w:t xml:space="preserve">The initial aim is for systolic blood pressure &lt; 90th centile for height, </w:t>
      </w:r>
      <w:proofErr w:type="gramStart"/>
      <w:r w:rsidRPr="006C2248">
        <w:rPr>
          <w:lang w:val="en-US"/>
        </w:rPr>
        <w:t>age</w:t>
      </w:r>
      <w:proofErr w:type="gramEnd"/>
      <w:r w:rsidRPr="006C2248">
        <w:rPr>
          <w:lang w:val="en-US"/>
        </w:rPr>
        <w:t xml:space="preserve"> and gender (with a long-term goal to achieve control near the 50th percentile for age).</w:t>
      </w:r>
    </w:p>
    <w:p w14:paraId="6F7C9435" w14:textId="21614BAF" w:rsidR="00737A80" w:rsidRPr="006C2248" w:rsidRDefault="00737A80" w:rsidP="00346D2E">
      <w:pPr>
        <w:pStyle w:val="ListParagraph"/>
        <w:numPr>
          <w:ilvl w:val="0"/>
          <w:numId w:val="56"/>
        </w:numPr>
        <w:rPr>
          <w:lang w:val="en-US"/>
        </w:rPr>
      </w:pPr>
      <w:r w:rsidRPr="006C2248">
        <w:rPr>
          <w:lang w:val="en-US"/>
        </w:rPr>
        <w:t xml:space="preserve">Patient and parent or carer education on low-salt diet and regular exercise with maintenance of a healthy weight. Lowering the salt content in diet has been shown to improve systemic hypertension in the paediatric population. </w:t>
      </w:r>
    </w:p>
    <w:p w14:paraId="194E9C95" w14:textId="04536972" w:rsidR="00737A80" w:rsidRPr="006C2248" w:rsidRDefault="00737A80" w:rsidP="00346D2E">
      <w:pPr>
        <w:pStyle w:val="ListParagraph"/>
        <w:numPr>
          <w:ilvl w:val="0"/>
          <w:numId w:val="56"/>
        </w:numPr>
        <w:rPr>
          <w:lang w:val="en-US"/>
        </w:rPr>
      </w:pPr>
      <w:r w:rsidRPr="006C2248">
        <w:rPr>
          <w:lang w:val="en-US"/>
        </w:rPr>
        <w:t xml:space="preserve">Investigating potentially correctable causes of hypertension, such as transplant renal artery stenosis (TRAS). If present and there is remaining allograft function or severe hypertension (not controlled on two medications), endovascular or surgical interventions should be considered in discussion with interventional radiology and transplant surgical teams.  </w:t>
      </w:r>
    </w:p>
    <w:p w14:paraId="77D9C62F" w14:textId="77777777" w:rsidR="00737A80" w:rsidRPr="006C2248" w:rsidRDefault="00737A80" w:rsidP="00346D2E">
      <w:pPr>
        <w:pStyle w:val="ListParagraph"/>
        <w:numPr>
          <w:ilvl w:val="0"/>
          <w:numId w:val="56"/>
        </w:numPr>
        <w:rPr>
          <w:lang w:val="en-US"/>
        </w:rPr>
      </w:pPr>
      <w:r w:rsidRPr="006C2248">
        <w:rPr>
          <w:lang w:val="en-US"/>
        </w:rPr>
        <w:t>There is no clear choice of preferred antihypertensive medications for children with failing kidney transplants and hypertension. However, recurrence of disease, accompanying proteinuria, water and salt overload should be taken into consideration when choosing medication. Careful monitoring is recommended if blockade of the renin-angiotensin system is initiated.</w:t>
      </w:r>
    </w:p>
    <w:p w14:paraId="7894F2E8" w14:textId="60CE3CDD" w:rsidR="00737A80" w:rsidRPr="00557981" w:rsidRDefault="00737A80" w:rsidP="00737A80">
      <w:pPr>
        <w:pStyle w:val="Heading4"/>
        <w:rPr>
          <w:rFonts w:eastAsia="Calibri"/>
        </w:rPr>
      </w:pPr>
      <w:bookmarkStart w:id="77" w:name="_Toc128329983"/>
      <w:r>
        <w:t>5.</w:t>
      </w:r>
      <w:r w:rsidRPr="00557981">
        <w:t xml:space="preserve">2.2 </w:t>
      </w:r>
      <w:r w:rsidR="00F00B65">
        <w:tab/>
      </w:r>
      <w:r w:rsidRPr="00557981">
        <w:t>Anaemia</w:t>
      </w:r>
      <w:bookmarkEnd w:id="77"/>
    </w:p>
    <w:p w14:paraId="0537959C" w14:textId="3A21755F" w:rsidR="00737A80" w:rsidRDefault="00737A80" w:rsidP="00F102A5">
      <w:pPr>
        <w:spacing w:line="276" w:lineRule="auto"/>
        <w:jc w:val="both"/>
        <w:rPr>
          <w:color w:val="232323"/>
          <w:u w:color="232323"/>
          <w:lang w:val="en-US"/>
        </w:rPr>
      </w:pPr>
      <w:r w:rsidRPr="00557981">
        <w:rPr>
          <w:lang w:val="en-US"/>
        </w:rPr>
        <w:t xml:space="preserve">Anaemia is present in a significant proportion of paediatric </w:t>
      </w:r>
      <w:r>
        <w:rPr>
          <w:lang w:val="en-US"/>
        </w:rPr>
        <w:t>KTRs</w:t>
      </w:r>
      <w:r w:rsidRPr="00557981">
        <w:rPr>
          <w:lang w:val="en-US"/>
        </w:rPr>
        <w:t>. Haemoglobin levels are strongly associated with allograft dysfunction, being the lowest in paediatric kidney transplant recipients with CKD stage V</w:t>
      </w:r>
      <w:r w:rsidRPr="00557981">
        <w:rPr>
          <w:vertAlign w:val="superscript"/>
          <w:lang w:val="en-US"/>
        </w:rPr>
        <w:t>14</w:t>
      </w:r>
      <w:r w:rsidRPr="00557981">
        <w:rPr>
          <w:lang w:val="en-US"/>
        </w:rPr>
        <w:t>.</w:t>
      </w:r>
      <w:r w:rsidRPr="00557981">
        <w:rPr>
          <w:color w:val="232323"/>
          <w:u w:color="232323"/>
          <w:lang w:val="en-US"/>
        </w:rPr>
        <w:t xml:space="preserve"> Anaemia contributes to ongoing hypoxic injury and inflammation in the allograft, itself contributing to a further deterioration in allograft function</w:t>
      </w:r>
      <w:r w:rsidRPr="00557981">
        <w:rPr>
          <w:color w:val="232323"/>
          <w:u w:color="232323"/>
          <w:vertAlign w:val="superscript"/>
          <w:lang w:val="en-US"/>
        </w:rPr>
        <w:t>15</w:t>
      </w:r>
      <w:r w:rsidRPr="00557981">
        <w:rPr>
          <w:color w:val="232323"/>
          <w:u w:color="232323"/>
          <w:lang w:val="en-US"/>
        </w:rPr>
        <w:t xml:space="preserve">. </w:t>
      </w:r>
    </w:p>
    <w:p w14:paraId="39DE67FA" w14:textId="77777777" w:rsidR="00346D2E" w:rsidRPr="00346D2E" w:rsidRDefault="00346D2E" w:rsidP="00346D2E">
      <w:pPr>
        <w:spacing w:line="276" w:lineRule="auto"/>
        <w:jc w:val="both"/>
        <w:rPr>
          <w:color w:val="232323"/>
          <w:u w:color="232323"/>
          <w:lang w:val="en-US"/>
        </w:rPr>
      </w:pPr>
      <w:r w:rsidRPr="00346D2E">
        <w:rPr>
          <w:color w:val="232323"/>
          <w:u w:color="232323"/>
          <w:lang w:val="en-US"/>
        </w:rPr>
        <w:t>We recommend:</w:t>
      </w:r>
    </w:p>
    <w:p w14:paraId="2447C15B" w14:textId="233BA093" w:rsidR="00346D2E" w:rsidRPr="00346D2E" w:rsidRDefault="00346D2E" w:rsidP="00346D2E">
      <w:pPr>
        <w:pStyle w:val="ListParagraph"/>
        <w:rPr>
          <w:u w:color="232323"/>
          <w:lang w:val="en-US"/>
        </w:rPr>
      </w:pPr>
      <w:r w:rsidRPr="00346D2E">
        <w:rPr>
          <w:u w:color="232323"/>
          <w:lang w:val="en-US"/>
        </w:rPr>
        <w:t>Anaemia surveillance:</w:t>
      </w:r>
    </w:p>
    <w:p w14:paraId="6FD18A3C" w14:textId="7FDED919" w:rsidR="00346D2E" w:rsidRPr="00346D2E" w:rsidRDefault="00346D2E" w:rsidP="00346D2E">
      <w:pPr>
        <w:pStyle w:val="ListParagraph"/>
        <w:numPr>
          <w:ilvl w:val="1"/>
          <w:numId w:val="54"/>
        </w:numPr>
        <w:rPr>
          <w:u w:color="232323"/>
          <w:lang w:val="en-US"/>
        </w:rPr>
      </w:pPr>
      <w:r w:rsidRPr="00346D2E">
        <w:rPr>
          <w:u w:color="232323"/>
          <w:lang w:val="en-US"/>
        </w:rPr>
        <w:t>Evaluation for symptoms of anaemia in every outpatient clinic visit including tiredness, shortness of breath and lethargy.</w:t>
      </w:r>
    </w:p>
    <w:p w14:paraId="54B11941" w14:textId="30AB9522" w:rsidR="00346D2E" w:rsidRPr="00346D2E" w:rsidRDefault="00346D2E" w:rsidP="00346D2E">
      <w:pPr>
        <w:pStyle w:val="ListParagraph"/>
        <w:numPr>
          <w:ilvl w:val="1"/>
          <w:numId w:val="54"/>
        </w:numPr>
        <w:rPr>
          <w:u w:color="232323"/>
          <w:lang w:val="en-US"/>
        </w:rPr>
      </w:pPr>
      <w:r w:rsidRPr="00346D2E">
        <w:rPr>
          <w:u w:color="232323"/>
          <w:lang w:val="en-US"/>
        </w:rPr>
        <w:t>Regular blood tests.</w:t>
      </w:r>
    </w:p>
    <w:p w14:paraId="2922BD63" w14:textId="24980604" w:rsidR="00346D2E" w:rsidRPr="00346D2E" w:rsidRDefault="00346D2E" w:rsidP="00346D2E">
      <w:pPr>
        <w:pStyle w:val="ListParagraph"/>
        <w:numPr>
          <w:ilvl w:val="2"/>
          <w:numId w:val="54"/>
        </w:numPr>
        <w:rPr>
          <w:u w:color="232323"/>
          <w:lang w:val="en-US"/>
        </w:rPr>
      </w:pPr>
      <w:r w:rsidRPr="00346D2E">
        <w:rPr>
          <w:u w:color="232323"/>
          <w:lang w:val="en-US"/>
        </w:rPr>
        <w:t>Every clinic: Full blood count including reticulocyte count.</w:t>
      </w:r>
    </w:p>
    <w:p w14:paraId="34C85296" w14:textId="5CBE2F9C" w:rsidR="00346D2E" w:rsidRPr="00346D2E" w:rsidRDefault="00346D2E" w:rsidP="00346D2E">
      <w:pPr>
        <w:pStyle w:val="ListParagraph"/>
        <w:numPr>
          <w:ilvl w:val="2"/>
          <w:numId w:val="54"/>
        </w:numPr>
        <w:rPr>
          <w:u w:color="232323"/>
          <w:lang w:val="en-US"/>
        </w:rPr>
      </w:pPr>
      <w:r w:rsidRPr="00346D2E">
        <w:rPr>
          <w:u w:color="232323"/>
          <w:lang w:val="en-US"/>
        </w:rPr>
        <w:t xml:space="preserve">Three monthly: Iron studies.  </w:t>
      </w:r>
    </w:p>
    <w:p w14:paraId="0415133F" w14:textId="269A41D8" w:rsidR="00346D2E" w:rsidRPr="00346D2E" w:rsidRDefault="00346D2E" w:rsidP="00346D2E">
      <w:pPr>
        <w:pStyle w:val="ListParagraph"/>
        <w:rPr>
          <w:u w:color="232323"/>
          <w:lang w:val="en-US"/>
        </w:rPr>
      </w:pPr>
      <w:r w:rsidRPr="00346D2E">
        <w:rPr>
          <w:u w:color="232323"/>
          <w:lang w:val="en-US"/>
        </w:rPr>
        <w:t>Anaemia management:</w:t>
      </w:r>
    </w:p>
    <w:p w14:paraId="379007B1" w14:textId="5F85D9AA" w:rsidR="00346D2E" w:rsidRPr="00346D2E" w:rsidRDefault="00346D2E" w:rsidP="00346D2E">
      <w:pPr>
        <w:pStyle w:val="ListParagraph"/>
        <w:numPr>
          <w:ilvl w:val="1"/>
          <w:numId w:val="54"/>
        </w:numPr>
        <w:rPr>
          <w:u w:color="232323"/>
          <w:lang w:val="en-US"/>
        </w:rPr>
      </w:pPr>
      <w:r w:rsidRPr="00346D2E">
        <w:rPr>
          <w:u w:color="232323"/>
          <w:lang w:val="en-US"/>
        </w:rPr>
        <w:t>Aim to maintain haemoglobin levels within the normal range (dependent on local ranges) (usual range 100-130 g/L).</w:t>
      </w:r>
    </w:p>
    <w:p w14:paraId="2B83E6CC" w14:textId="6CA9F193" w:rsidR="00346D2E" w:rsidRPr="00346D2E" w:rsidRDefault="00346D2E" w:rsidP="00346D2E">
      <w:pPr>
        <w:pStyle w:val="ListParagraph"/>
        <w:numPr>
          <w:ilvl w:val="1"/>
          <w:numId w:val="54"/>
        </w:numPr>
        <w:rPr>
          <w:u w:color="232323"/>
          <w:lang w:val="en-US"/>
        </w:rPr>
      </w:pPr>
      <w:r w:rsidRPr="00346D2E">
        <w:rPr>
          <w:u w:color="232323"/>
          <w:lang w:val="en-US"/>
        </w:rPr>
        <w:t>Com</w:t>
      </w:r>
      <w:r>
        <w:rPr>
          <w:u w:color="232323"/>
          <w:lang w:val="en-US"/>
        </w:rPr>
        <w:t>me</w:t>
      </w:r>
      <w:r w:rsidRPr="00346D2E">
        <w:rPr>
          <w:u w:color="232323"/>
          <w:lang w:val="en-US"/>
        </w:rPr>
        <w:t>nce iron supplementation early if evidence of iron depletion.</w:t>
      </w:r>
    </w:p>
    <w:p w14:paraId="7E39DD3F" w14:textId="3D15802A" w:rsidR="00346D2E" w:rsidRPr="00346D2E" w:rsidRDefault="00346D2E" w:rsidP="00346D2E">
      <w:pPr>
        <w:pStyle w:val="ListParagraph"/>
        <w:numPr>
          <w:ilvl w:val="1"/>
          <w:numId w:val="54"/>
        </w:numPr>
        <w:rPr>
          <w:u w:color="232323"/>
          <w:lang w:val="en-US"/>
        </w:rPr>
      </w:pPr>
      <w:r w:rsidRPr="00346D2E">
        <w:rPr>
          <w:u w:color="232323"/>
          <w:lang w:val="en-US"/>
        </w:rPr>
        <w:t>Commence Erythropoietin Stimulating Agents (ESA) when sustained reduction in reticulocyte count seen on surveillance.</w:t>
      </w:r>
    </w:p>
    <w:p w14:paraId="30A08837" w14:textId="1EA51917" w:rsidR="00346D2E" w:rsidRDefault="00346D2E" w:rsidP="00346D2E">
      <w:pPr>
        <w:pStyle w:val="ListParagraph"/>
        <w:numPr>
          <w:ilvl w:val="1"/>
          <w:numId w:val="54"/>
        </w:numPr>
        <w:rPr>
          <w:u w:color="232323"/>
          <w:lang w:val="en-US"/>
        </w:rPr>
      </w:pPr>
      <w:r w:rsidRPr="00346D2E">
        <w:rPr>
          <w:u w:color="232323"/>
          <w:lang w:val="en-US"/>
        </w:rPr>
        <w:lastRenderedPageBreak/>
        <w:t>Consider reduction of anti-metabolites (azathioprine/MMF), especially in children with CKD (5T). Ongoing risks of sensitization need to be considered.</w:t>
      </w:r>
    </w:p>
    <w:p w14:paraId="3DAB24A3" w14:textId="77777777" w:rsidR="00346D2E" w:rsidRDefault="00346D2E" w:rsidP="00F102A5">
      <w:pPr>
        <w:spacing w:line="276" w:lineRule="auto"/>
        <w:jc w:val="both"/>
        <w:rPr>
          <w:color w:val="232323"/>
          <w:u w:color="232323"/>
          <w:lang w:val="en-US"/>
        </w:rPr>
      </w:pPr>
    </w:p>
    <w:p w14:paraId="38D1BA87" w14:textId="4EAECB2B" w:rsidR="00737A80" w:rsidRPr="00A57D9E" w:rsidRDefault="00737A80">
      <w:pPr>
        <w:pStyle w:val="Heading4"/>
        <w:numPr>
          <w:ilvl w:val="2"/>
          <w:numId w:val="50"/>
        </w:numPr>
        <w:ind w:left="709" w:hanging="709"/>
        <w:rPr>
          <w:rFonts w:eastAsia="Calibri"/>
        </w:rPr>
      </w:pPr>
      <w:bookmarkStart w:id="78" w:name="_Toc128329984"/>
      <w:r w:rsidRPr="00557981">
        <w:t>Optimisation of growth</w:t>
      </w:r>
      <w:bookmarkEnd w:id="78"/>
    </w:p>
    <w:p w14:paraId="60ED9400" w14:textId="77777777" w:rsidR="00737A80" w:rsidRDefault="00737A80" w:rsidP="001C3C72">
      <w:pPr>
        <w:spacing w:line="276" w:lineRule="auto"/>
        <w:jc w:val="both"/>
      </w:pPr>
      <w:r w:rsidRPr="00557981">
        <w:t>Children and young adults with failing allografts need special attention paid to their growth and bone health as physical growth is highest in childhood. Ongoing inflammation from a failing allograft can have a detrimental effect on growth with ongoing protein energy malnutrition adding to challenges. Hyperparathyroidism is an independent risk factor for allograft dysfunction after kidney transplantation. Hence, it is vital to optimize bone and growth in the failing graft cohort</w:t>
      </w:r>
      <w:r w:rsidRPr="00557981">
        <w:rPr>
          <w:vertAlign w:val="superscript"/>
        </w:rPr>
        <w:t>16,17</w:t>
      </w:r>
      <w:r w:rsidRPr="00557981">
        <w:t>.</w:t>
      </w:r>
    </w:p>
    <w:p w14:paraId="15539E5E" w14:textId="77777777" w:rsidR="00737A80" w:rsidRDefault="00737A80" w:rsidP="00514677">
      <w:r>
        <w:t>We recommend:</w:t>
      </w:r>
    </w:p>
    <w:p w14:paraId="43EF31DF" w14:textId="51026D90" w:rsidR="00737A80" w:rsidRPr="00514677" w:rsidRDefault="00737A80" w:rsidP="00346D2E">
      <w:pPr>
        <w:pStyle w:val="ListParagraph"/>
        <w:numPr>
          <w:ilvl w:val="0"/>
          <w:numId w:val="68"/>
        </w:numPr>
        <w:rPr>
          <w:rFonts w:eastAsia="Calibri"/>
        </w:rPr>
      </w:pPr>
      <w:r w:rsidRPr="00A57D9E">
        <w:t>Growth and Nutrition Surveillance:</w:t>
      </w:r>
    </w:p>
    <w:p w14:paraId="31683820" w14:textId="77777777" w:rsidR="00EC5AB0" w:rsidRPr="001C3C72" w:rsidRDefault="00EC5AB0" w:rsidP="00346D2E">
      <w:pPr>
        <w:pStyle w:val="ListParagraph"/>
        <w:numPr>
          <w:ilvl w:val="0"/>
          <w:numId w:val="69"/>
        </w:numPr>
      </w:pPr>
      <w:r w:rsidRPr="001C3C72">
        <w:t>Auxology at every outpatient visit (including height and weight).</w:t>
      </w:r>
    </w:p>
    <w:p w14:paraId="5DA1BFA6" w14:textId="77777777" w:rsidR="00EC5AB0" w:rsidRPr="001C3C72" w:rsidRDefault="00EC5AB0" w:rsidP="00346D2E">
      <w:pPr>
        <w:pStyle w:val="ListParagraph"/>
        <w:numPr>
          <w:ilvl w:val="0"/>
          <w:numId w:val="69"/>
        </w:numPr>
      </w:pPr>
      <w:r w:rsidRPr="001C3C72">
        <w:t>Review of symptoms of poor nutrition/worsening electrolytes (morning nausea or vomiting).</w:t>
      </w:r>
    </w:p>
    <w:p w14:paraId="6532062D" w14:textId="05DA0EE1" w:rsidR="00EC5AB0" w:rsidRPr="00EC5AB0" w:rsidRDefault="00EC5AB0" w:rsidP="00346D2E">
      <w:pPr>
        <w:pStyle w:val="ListParagraph"/>
        <w:numPr>
          <w:ilvl w:val="0"/>
          <w:numId w:val="69"/>
        </w:numPr>
      </w:pPr>
      <w:r w:rsidRPr="001C3C72">
        <w:t>Regular blood tests.</w:t>
      </w:r>
    </w:p>
    <w:p w14:paraId="5D9CCD64" w14:textId="77777777" w:rsidR="00737A80" w:rsidRPr="00F102A5" w:rsidRDefault="00737A80" w:rsidP="00346D2E">
      <w:pPr>
        <w:pStyle w:val="ListParagraph"/>
        <w:numPr>
          <w:ilvl w:val="0"/>
          <w:numId w:val="69"/>
        </w:numPr>
        <w:rPr>
          <w:rFonts w:eastAsia="Calibri"/>
        </w:rPr>
      </w:pPr>
      <w:r w:rsidRPr="00557981">
        <w:t>Every clinic: Renal function, bone profile (calcium, phosphate, albumin, alkaline phosphatase), liver function, bicarbonate.</w:t>
      </w:r>
    </w:p>
    <w:p w14:paraId="63806352" w14:textId="77777777" w:rsidR="00737A80" w:rsidRPr="00F102A5" w:rsidRDefault="00737A80" w:rsidP="00346D2E">
      <w:pPr>
        <w:pStyle w:val="ListParagraph"/>
        <w:numPr>
          <w:ilvl w:val="0"/>
          <w:numId w:val="70"/>
        </w:numPr>
        <w:rPr>
          <w:rFonts w:eastAsia="Calibri"/>
        </w:rPr>
      </w:pPr>
      <w:r w:rsidRPr="00557981">
        <w:t xml:space="preserve">Three monthly: PTH.  </w:t>
      </w:r>
    </w:p>
    <w:p w14:paraId="4F6F3381" w14:textId="77777777" w:rsidR="00737A80" w:rsidRPr="00F102A5" w:rsidRDefault="00737A80" w:rsidP="00346D2E">
      <w:pPr>
        <w:pStyle w:val="ListParagraph"/>
        <w:numPr>
          <w:ilvl w:val="0"/>
          <w:numId w:val="70"/>
        </w:numPr>
        <w:rPr>
          <w:rFonts w:eastAsia="Calibri"/>
        </w:rPr>
      </w:pPr>
      <w:r w:rsidRPr="00557981">
        <w:t>Annual: vitamin D.</w:t>
      </w:r>
    </w:p>
    <w:p w14:paraId="7817B939" w14:textId="113FAF4D" w:rsidR="00737A80" w:rsidRDefault="00737A80" w:rsidP="00346D2E">
      <w:pPr>
        <w:pStyle w:val="ListParagraph"/>
        <w:numPr>
          <w:ilvl w:val="0"/>
          <w:numId w:val="49"/>
        </w:numPr>
      </w:pPr>
      <w:r w:rsidRPr="001C3C72">
        <w:t>Growth and Nutrition Management:</w:t>
      </w:r>
    </w:p>
    <w:p w14:paraId="5E5A22EF" w14:textId="50D56C51" w:rsidR="00EC5AB0" w:rsidRDefault="00EC5AB0" w:rsidP="00346D2E">
      <w:pPr>
        <w:pStyle w:val="ListParagraph"/>
        <w:numPr>
          <w:ilvl w:val="0"/>
          <w:numId w:val="61"/>
        </w:numPr>
      </w:pPr>
      <w:r>
        <w:t>The overall aim of management is to achieve optimal growth rate and maximise growth potential.</w:t>
      </w:r>
    </w:p>
    <w:p w14:paraId="1C46F64E" w14:textId="56380474" w:rsidR="00EC5AB0" w:rsidRPr="00B96AB1" w:rsidRDefault="00EC5AB0" w:rsidP="00346D2E">
      <w:pPr>
        <w:pStyle w:val="ListParagraph"/>
        <w:numPr>
          <w:ilvl w:val="0"/>
          <w:numId w:val="61"/>
        </w:numPr>
      </w:pPr>
      <w:r w:rsidRPr="00B96AB1">
        <w:t>Review of blood tests and correction of acidosis, maintenance of phosphate and PTH levels as close to the normal range as possible. Correction of anaemia as above.</w:t>
      </w:r>
    </w:p>
    <w:p w14:paraId="5FD79149" w14:textId="59D69F35" w:rsidR="00EC5AB0" w:rsidRPr="00EC5AB0" w:rsidRDefault="00EC5AB0" w:rsidP="00346D2E">
      <w:pPr>
        <w:pStyle w:val="ListParagraph"/>
        <w:numPr>
          <w:ilvl w:val="0"/>
          <w:numId w:val="61"/>
        </w:numPr>
        <w:rPr>
          <w:rFonts w:eastAsia="Calibri"/>
        </w:rPr>
      </w:pPr>
      <w:r w:rsidRPr="00A27179">
        <w:t xml:space="preserve">Involvement of renal dietician. </w:t>
      </w:r>
    </w:p>
    <w:p w14:paraId="4C1906E2" w14:textId="3CC7415A" w:rsidR="00737A80" w:rsidRPr="00A27179" w:rsidRDefault="00737A80" w:rsidP="006F2B11">
      <w:pPr>
        <w:pStyle w:val="Heading4"/>
        <w:ind w:left="284" w:hanging="284"/>
        <w:rPr>
          <w:rFonts w:eastAsia="Calibri"/>
        </w:rPr>
      </w:pPr>
      <w:bookmarkStart w:id="79" w:name="_Toc128329985"/>
      <w:r>
        <w:t>5.</w:t>
      </w:r>
      <w:r w:rsidRPr="00557981">
        <w:t xml:space="preserve">2.4 </w:t>
      </w:r>
      <w:r w:rsidR="00F00B65">
        <w:tab/>
      </w:r>
      <w:r w:rsidRPr="00557981">
        <w:t>Risk of diabetes</w:t>
      </w:r>
      <w:bookmarkEnd w:id="79"/>
      <w:r w:rsidRPr="00557981">
        <w:t xml:space="preserve"> </w:t>
      </w:r>
    </w:p>
    <w:p w14:paraId="7729F573" w14:textId="77777777" w:rsidR="00737A80" w:rsidRDefault="00737A80" w:rsidP="00514677">
      <w:pPr>
        <w:spacing w:line="276" w:lineRule="auto"/>
        <w:jc w:val="both"/>
      </w:pPr>
      <w:r w:rsidRPr="00557981">
        <w:t xml:space="preserve">The risk of hyperglycaemia and diabetes is increased in paediatric </w:t>
      </w:r>
      <w:r>
        <w:t>KTR</w:t>
      </w:r>
      <w:r w:rsidRPr="00557981">
        <w:t xml:space="preserve">s mainly due to maintenance </w:t>
      </w:r>
      <w:r>
        <w:t>IS</w:t>
      </w:r>
      <w:r w:rsidRPr="00557981">
        <w:t xml:space="preserve"> (steroids and tacrolimus) and in certain underlying conditions (e.g HNF1β mutations). Children from Black and Asian heritage are at an increased risk of developing hyperglycaemia or diabetes requiring treatment. As poorly controlled diabetes accelerates deterioration of allograft function, specialised care is required for prevention and timely management</w:t>
      </w:r>
      <w:r w:rsidRPr="00557981">
        <w:rPr>
          <w:vertAlign w:val="superscript"/>
        </w:rPr>
        <w:t>18</w:t>
      </w:r>
      <w:r w:rsidRPr="00557981">
        <w:t xml:space="preserve">. </w:t>
      </w:r>
    </w:p>
    <w:p w14:paraId="1FBA3C75" w14:textId="77777777" w:rsidR="00737A80" w:rsidRPr="00557981" w:rsidRDefault="00737A80" w:rsidP="00514677">
      <w:pPr>
        <w:spacing w:line="276" w:lineRule="auto"/>
        <w:jc w:val="both"/>
        <w:rPr>
          <w:rFonts w:eastAsia="Calibri"/>
        </w:rPr>
      </w:pPr>
      <w:r>
        <w:t>We recommend:</w:t>
      </w:r>
    </w:p>
    <w:p w14:paraId="46AE1BC3" w14:textId="77777777" w:rsidR="00737A80" w:rsidRPr="00514677" w:rsidRDefault="00737A80" w:rsidP="00346D2E">
      <w:pPr>
        <w:pStyle w:val="ListParagraph"/>
        <w:numPr>
          <w:ilvl w:val="0"/>
          <w:numId w:val="65"/>
        </w:numPr>
      </w:pPr>
      <w:r w:rsidRPr="00514677">
        <w:t xml:space="preserve">Diabetes Surveillance: </w:t>
      </w:r>
    </w:p>
    <w:p w14:paraId="206BD7B7" w14:textId="77777777" w:rsidR="00737A80" w:rsidRPr="00514677" w:rsidRDefault="00737A80" w:rsidP="00346D2E">
      <w:pPr>
        <w:pStyle w:val="ListParagraph"/>
        <w:numPr>
          <w:ilvl w:val="0"/>
          <w:numId w:val="66"/>
        </w:numPr>
      </w:pPr>
      <w:r w:rsidRPr="00514677">
        <w:t>Children in a high-risk category as above, should have personalised surveillance, which would usually include 3 monthly measurements of HbA1c levels.</w:t>
      </w:r>
    </w:p>
    <w:p w14:paraId="643F5315" w14:textId="77777777" w:rsidR="00737A80" w:rsidRPr="00514677" w:rsidRDefault="00737A80" w:rsidP="00346D2E">
      <w:pPr>
        <w:pStyle w:val="ListParagraph"/>
        <w:numPr>
          <w:ilvl w:val="0"/>
          <w:numId w:val="66"/>
        </w:numPr>
      </w:pPr>
      <w:r w:rsidRPr="00514677">
        <w:t>For children in the low-risk category, we would advise annual HbA1c check.</w:t>
      </w:r>
    </w:p>
    <w:p w14:paraId="6C633108" w14:textId="77777777" w:rsidR="00737A80" w:rsidRPr="00514677" w:rsidRDefault="00737A80" w:rsidP="00346D2E">
      <w:pPr>
        <w:pStyle w:val="ListParagraph"/>
        <w:numPr>
          <w:ilvl w:val="0"/>
          <w:numId w:val="66"/>
        </w:numPr>
      </w:pPr>
      <w:r w:rsidRPr="00514677">
        <w:t>Ongoing dietetic support.</w:t>
      </w:r>
    </w:p>
    <w:p w14:paraId="345CE908" w14:textId="5B44662C" w:rsidR="00737A80" w:rsidRPr="00514677" w:rsidRDefault="00737A80" w:rsidP="00346D2E">
      <w:pPr>
        <w:pStyle w:val="ListParagraph"/>
        <w:numPr>
          <w:ilvl w:val="0"/>
          <w:numId w:val="65"/>
        </w:numPr>
      </w:pPr>
      <w:r w:rsidRPr="00514677">
        <w:t>Diabetes management</w:t>
      </w:r>
      <w:r w:rsidR="00514677">
        <w:t>:</w:t>
      </w:r>
    </w:p>
    <w:p w14:paraId="6B64ABC0" w14:textId="77777777" w:rsidR="00737A80" w:rsidRPr="00514677" w:rsidRDefault="00737A80" w:rsidP="00346D2E">
      <w:pPr>
        <w:pStyle w:val="ListParagraph"/>
        <w:numPr>
          <w:ilvl w:val="0"/>
          <w:numId w:val="67"/>
        </w:numPr>
      </w:pPr>
      <w:r w:rsidRPr="00514677">
        <w:t xml:space="preserve">Treatment should be guided by endocrine and dietetic teams. </w:t>
      </w:r>
    </w:p>
    <w:p w14:paraId="101DC868" w14:textId="77777777" w:rsidR="00737A80" w:rsidRPr="00514677" w:rsidRDefault="00737A80" w:rsidP="00346D2E">
      <w:pPr>
        <w:pStyle w:val="ListParagraph"/>
        <w:numPr>
          <w:ilvl w:val="0"/>
          <w:numId w:val="67"/>
        </w:numPr>
      </w:pPr>
      <w:r w:rsidRPr="00514677">
        <w:lastRenderedPageBreak/>
        <w:t xml:space="preserve">Reduction of IS, especially steroids, should be considered early. Again, this should be personalised depending on allograft function, HLA sensitisation and individual risks to the patient. </w:t>
      </w:r>
    </w:p>
    <w:p w14:paraId="619E07BC" w14:textId="63645A4E" w:rsidR="00737A80" w:rsidRPr="00557981" w:rsidRDefault="00737A80" w:rsidP="00737A80">
      <w:pPr>
        <w:pStyle w:val="Heading3"/>
      </w:pPr>
      <w:bookmarkStart w:id="80" w:name="_Toc128329986"/>
      <w:r>
        <w:t>5.3</w:t>
      </w:r>
      <w:r w:rsidRPr="00557981">
        <w:t>. Immunosuppression</w:t>
      </w:r>
      <w:bookmarkEnd w:id="80"/>
      <w:r w:rsidRPr="00557981">
        <w:t xml:space="preserve"> </w:t>
      </w:r>
    </w:p>
    <w:p w14:paraId="069B9BDB" w14:textId="77777777" w:rsidR="00737A80" w:rsidRPr="00557981" w:rsidRDefault="00737A80" w:rsidP="00641306">
      <w:pPr>
        <w:spacing w:line="276" w:lineRule="auto"/>
        <w:jc w:val="both"/>
        <w:rPr>
          <w:rFonts w:eastAsia="Calibri"/>
        </w:rPr>
      </w:pPr>
      <w:r w:rsidRPr="00557981">
        <w:t xml:space="preserve">Currently, there are no uniform recommendations on the management of IS in children with failing allografts. Recent guidelines by the UK paediatric transplant group on IS give clear guidance on approaches for the first kidney transplant but do not address the failing allograft cohort separately. When optimising IS for this cohort of paediatric patients, a balance needs to be found between ensuring that sensitisation remains low (as re-transplantation would be recommended for </w:t>
      </w:r>
      <w:proofErr w:type="gramStart"/>
      <w:r w:rsidRPr="00557981">
        <w:t>the majority of</w:t>
      </w:r>
      <w:proofErr w:type="gramEnd"/>
      <w:r w:rsidRPr="00557981">
        <w:t xml:space="preserve"> patients) whilst minimizing complications</w:t>
      </w:r>
      <w:r w:rsidRPr="00557981">
        <w:rPr>
          <w:vertAlign w:val="superscript"/>
        </w:rPr>
        <w:t>19,20</w:t>
      </w:r>
      <w:r w:rsidRPr="00557981">
        <w:t xml:space="preserve">. </w:t>
      </w:r>
    </w:p>
    <w:p w14:paraId="1AB6CAE5" w14:textId="77777777" w:rsidR="00737A80" w:rsidRPr="00557981" w:rsidRDefault="00737A80" w:rsidP="00641306">
      <w:pPr>
        <w:spacing w:line="276" w:lineRule="auto"/>
        <w:jc w:val="both"/>
        <w:rPr>
          <w:rFonts w:eastAsia="Calibri"/>
        </w:rPr>
      </w:pPr>
      <w:r w:rsidRPr="00557981">
        <w:t xml:space="preserve">Most paediatric </w:t>
      </w:r>
      <w:r>
        <w:t>KTR</w:t>
      </w:r>
      <w:r w:rsidRPr="00557981">
        <w:t>s’ maintenance IS falls into one of three categories:</w:t>
      </w:r>
    </w:p>
    <w:p w14:paraId="71927EB7" w14:textId="45B6E957" w:rsidR="00737A80" w:rsidRPr="00557981" w:rsidRDefault="00737A80" w:rsidP="00346D2E">
      <w:pPr>
        <w:pStyle w:val="ListParagraph"/>
        <w:numPr>
          <w:ilvl w:val="0"/>
          <w:numId w:val="62"/>
        </w:numPr>
      </w:pPr>
      <w:r>
        <w:t>CNI</w:t>
      </w:r>
      <w:r w:rsidRPr="00557981">
        <w:t xml:space="preserve"> and Mycophenolate Mofetil (MMF)</w:t>
      </w:r>
      <w:r w:rsidR="006F2B11">
        <w:t>.</w:t>
      </w:r>
      <w:r w:rsidRPr="00557981">
        <w:t xml:space="preserve"> </w:t>
      </w:r>
    </w:p>
    <w:p w14:paraId="1C143648" w14:textId="15228C45" w:rsidR="00737A80" w:rsidRPr="00557981" w:rsidRDefault="00737A80" w:rsidP="00346D2E">
      <w:pPr>
        <w:pStyle w:val="ListParagraph"/>
        <w:numPr>
          <w:ilvl w:val="0"/>
          <w:numId w:val="62"/>
        </w:numPr>
      </w:pPr>
      <w:r w:rsidRPr="00557981">
        <w:t>CNI, azathioprine +/- steroids</w:t>
      </w:r>
      <w:r w:rsidR="006F2B11">
        <w:t>.</w:t>
      </w:r>
      <w:r w:rsidRPr="00557981">
        <w:t xml:space="preserve"> </w:t>
      </w:r>
    </w:p>
    <w:p w14:paraId="4E732F1D" w14:textId="696BE87D" w:rsidR="00737A80" w:rsidRPr="00B96AB1" w:rsidRDefault="00737A80" w:rsidP="00346D2E">
      <w:pPr>
        <w:pStyle w:val="ListParagraph"/>
        <w:numPr>
          <w:ilvl w:val="0"/>
          <w:numId w:val="62"/>
        </w:numPr>
      </w:pPr>
      <w:r w:rsidRPr="00557981">
        <w:t>CNI and steroids</w:t>
      </w:r>
      <w:r w:rsidR="006F2B11">
        <w:t>.</w:t>
      </w:r>
      <w:r w:rsidRPr="00557981">
        <w:t xml:space="preserve"> </w:t>
      </w:r>
    </w:p>
    <w:p w14:paraId="33E345E6" w14:textId="77777777" w:rsidR="00737A80" w:rsidRPr="00557981" w:rsidRDefault="00737A80" w:rsidP="00641306">
      <w:pPr>
        <w:spacing w:line="276" w:lineRule="auto"/>
        <w:jc w:val="both"/>
        <w:rPr>
          <w:rFonts w:eastAsia="Calibri"/>
        </w:rPr>
      </w:pPr>
      <w:r w:rsidRPr="00557981">
        <w:t>Generally, unless contraindicated, for patients with declining kidney allograft function with eGFR &lt;25ml/min/1.73m</w:t>
      </w:r>
      <w:r w:rsidRPr="00A27179">
        <w:rPr>
          <w:vertAlign w:val="superscript"/>
        </w:rPr>
        <w:t>2</w:t>
      </w:r>
      <w:r w:rsidRPr="00557981">
        <w:t xml:space="preserve"> and those on dialysis, CNIs should be continued aiming for levels 5-7 mg/L </w:t>
      </w:r>
      <w:r>
        <w:t xml:space="preserve">(tacrolimus). </w:t>
      </w:r>
      <w:r w:rsidRPr="00557981">
        <w:t>Withdrawal and cessation of steroids should be considered early to allow for better growth. Anti-metabolites should be continued on lower doses (for example 0.5-1mg/kg once daily azathioprine and 150mg/m</w:t>
      </w:r>
      <w:r w:rsidRPr="00557981">
        <w:rPr>
          <w:vertAlign w:val="superscript"/>
        </w:rPr>
        <w:t>2</w:t>
      </w:r>
      <w:r w:rsidRPr="00557981">
        <w:t xml:space="preserve"> twice daily MMF). </w:t>
      </w:r>
    </w:p>
    <w:p w14:paraId="30FD64A5" w14:textId="77777777" w:rsidR="00737A80" w:rsidRPr="00557981" w:rsidRDefault="00737A80" w:rsidP="00641306">
      <w:pPr>
        <w:spacing w:line="276" w:lineRule="auto"/>
        <w:jc w:val="both"/>
        <w:rPr>
          <w:rFonts w:eastAsia="Calibri"/>
        </w:rPr>
      </w:pPr>
      <w:r w:rsidRPr="00557981">
        <w:t xml:space="preserve">In some situations, complete withdrawal of IS will need to be considered (severe clinically symptomatic infections, PTLD, persistently high levels of EBV). As always, </w:t>
      </w:r>
      <w:r>
        <w:t xml:space="preserve">the </w:t>
      </w:r>
      <w:r w:rsidRPr="00557981">
        <w:t xml:space="preserve">patient’s overall health and holistic approach should guide management. </w:t>
      </w:r>
    </w:p>
    <w:p w14:paraId="040ACA7D" w14:textId="77777777" w:rsidR="00737A80" w:rsidRPr="00557981" w:rsidRDefault="00737A80" w:rsidP="00641306">
      <w:pPr>
        <w:spacing w:line="276" w:lineRule="auto"/>
        <w:jc w:val="both"/>
        <w:rPr>
          <w:rFonts w:eastAsia="Calibri"/>
        </w:rPr>
      </w:pPr>
      <w:r w:rsidRPr="00557981">
        <w:t xml:space="preserve">There can be two situations that one might face when addressing immunosuppression in failing allograft cohorts:  </w:t>
      </w:r>
    </w:p>
    <w:p w14:paraId="2D06C7E5" w14:textId="51AB43E8" w:rsidR="00737A80" w:rsidRPr="00641306" w:rsidRDefault="00737A80" w:rsidP="00346D2E">
      <w:pPr>
        <w:pStyle w:val="ListParagraph"/>
        <w:numPr>
          <w:ilvl w:val="0"/>
          <w:numId w:val="63"/>
        </w:numPr>
        <w:rPr>
          <w:rFonts w:eastAsia="Calibri"/>
        </w:rPr>
      </w:pPr>
      <w:r w:rsidRPr="00641306">
        <w:t>Immunosuppression management in patients following transplant nephrectomy</w:t>
      </w:r>
    </w:p>
    <w:p w14:paraId="782F75A7" w14:textId="77777777" w:rsidR="00737A80" w:rsidRPr="00557981" w:rsidRDefault="00737A80" w:rsidP="00641306">
      <w:pPr>
        <w:spacing w:line="276" w:lineRule="auto"/>
        <w:jc w:val="both"/>
        <w:rPr>
          <w:rFonts w:eastAsia="Calibri"/>
        </w:rPr>
      </w:pPr>
      <w:r w:rsidRPr="00557981">
        <w:t xml:space="preserve">The absence of kidney allograft does not prevent the formation of donor-specific antibodies (DSA) and maintenance of CNI and/or antimetabolites should be considered for suppression of the activity of memory cells. </w:t>
      </w:r>
    </w:p>
    <w:p w14:paraId="4FC18339" w14:textId="02E74270" w:rsidR="00737A80" w:rsidRPr="00641306" w:rsidRDefault="00737A80" w:rsidP="00346D2E">
      <w:pPr>
        <w:pStyle w:val="ListParagraph"/>
        <w:numPr>
          <w:ilvl w:val="0"/>
          <w:numId w:val="63"/>
        </w:numPr>
        <w:rPr>
          <w:rFonts w:eastAsia="Calibri"/>
        </w:rPr>
      </w:pPr>
      <w:r w:rsidRPr="00641306">
        <w:t xml:space="preserve">Immunosuppression management with failed transplant left </w:t>
      </w:r>
      <w:r w:rsidRPr="00641306">
        <w:rPr>
          <w:i/>
          <w:iCs/>
        </w:rPr>
        <w:t>in situ</w:t>
      </w:r>
    </w:p>
    <w:p w14:paraId="4DD40FC7" w14:textId="77777777" w:rsidR="00737A80" w:rsidRPr="00557981" w:rsidRDefault="00737A80" w:rsidP="00641306">
      <w:pPr>
        <w:spacing w:line="276" w:lineRule="auto"/>
        <w:jc w:val="both"/>
        <w:rPr>
          <w:rFonts w:eastAsia="Calibri"/>
        </w:rPr>
      </w:pPr>
      <w:r w:rsidRPr="00557981">
        <w:t xml:space="preserve">Some evidence suggests that allograft remaining </w:t>
      </w:r>
      <w:r w:rsidRPr="00557981">
        <w:rPr>
          <w:i/>
          <w:iCs/>
        </w:rPr>
        <w:t>in situ</w:t>
      </w:r>
      <w:r w:rsidRPr="00557981">
        <w:t xml:space="preserve"> absorbs DSAs from circulation, contributing to lower sensitization and aiding in HLA matching for subsequent transplants. Maintenance immunosuppression with CNI and a low dose of antimetabolites should be considered in these patients.  </w:t>
      </w:r>
    </w:p>
    <w:p w14:paraId="5B6E189D" w14:textId="77777777" w:rsidR="00737A80" w:rsidRPr="00641306" w:rsidRDefault="00737A80" w:rsidP="00641306">
      <w:pPr>
        <w:spacing w:line="276" w:lineRule="auto"/>
        <w:jc w:val="both"/>
        <w:rPr>
          <w:rFonts w:eastAsia="Calibri"/>
          <w:color w:val="002060"/>
        </w:rPr>
      </w:pPr>
      <w:r w:rsidRPr="00641306">
        <w:rPr>
          <w:color w:val="002060"/>
        </w:rPr>
        <w:t xml:space="preserve">HLA-specific antibody screening: </w:t>
      </w:r>
    </w:p>
    <w:p w14:paraId="29B31847" w14:textId="165CC9D1" w:rsidR="00737A80" w:rsidRPr="00557981" w:rsidRDefault="00737A80" w:rsidP="00641306">
      <w:pPr>
        <w:spacing w:line="276" w:lineRule="auto"/>
        <w:jc w:val="both"/>
        <w:rPr>
          <w:rFonts w:eastAsia="Calibri"/>
        </w:rPr>
      </w:pPr>
      <w:r w:rsidRPr="00557981">
        <w:t xml:space="preserve">DSA and HLA sensitisation (calculated reaction frequency, cRF) should be checked at regular intervals </w:t>
      </w:r>
      <w:proofErr w:type="gramStart"/>
      <w:r w:rsidR="00F00B65">
        <w:t>eg</w:t>
      </w:r>
      <w:proofErr w:type="gramEnd"/>
      <w:r w:rsidRPr="00557981">
        <w:t xml:space="preserve"> 3 monthly. Any rise in DSA or increase in cRF should lead to reconsideration of restarting/increasing in IS. </w:t>
      </w:r>
    </w:p>
    <w:p w14:paraId="56B71C15" w14:textId="77777777" w:rsidR="00737A80" w:rsidRPr="000713EE" w:rsidRDefault="00737A80" w:rsidP="00641306">
      <w:pPr>
        <w:spacing w:line="276" w:lineRule="auto"/>
        <w:jc w:val="both"/>
        <w:rPr>
          <w:rFonts w:eastAsia="Calibri"/>
          <w:color w:val="002060"/>
        </w:rPr>
      </w:pPr>
      <w:r w:rsidRPr="000713EE">
        <w:rPr>
          <w:color w:val="002060"/>
        </w:rPr>
        <w:t>Immunosuppression for a second or subsequent kidney transplant:</w:t>
      </w:r>
    </w:p>
    <w:p w14:paraId="49BD25A0" w14:textId="77777777" w:rsidR="00737A80" w:rsidRPr="00557981" w:rsidRDefault="00737A80" w:rsidP="00641306">
      <w:pPr>
        <w:spacing w:line="276" w:lineRule="auto"/>
        <w:jc w:val="both"/>
        <w:rPr>
          <w:rFonts w:eastAsia="Calibri"/>
        </w:rPr>
      </w:pPr>
      <w:r w:rsidRPr="00557981">
        <w:lastRenderedPageBreak/>
        <w:t xml:space="preserve">Some paediatric </w:t>
      </w:r>
      <w:r>
        <w:t>KTR</w:t>
      </w:r>
      <w:r w:rsidRPr="00557981">
        <w:t xml:space="preserve">s with failed allografts will have higher levels of sensitisation and/or preformed antibodies which might complicate HLA matching for future transplants. Limited reports in the literature suggest good outcomes with the use of Alemtuzumab as an induction agent, and maintenance with a CNI, MMF and slow weaning of steroids. We recommend an individualized approach to each patient based on HLA sensitisation, origin of next kidney (deceased or living), cause of previous allograft loss and underlying etiology of </w:t>
      </w:r>
      <w:r>
        <w:t>ESKD</w:t>
      </w:r>
      <w:r w:rsidRPr="00557981">
        <w:rPr>
          <w:vertAlign w:val="superscript"/>
        </w:rPr>
        <w:t>21,22</w:t>
      </w:r>
      <w:r w:rsidRPr="00557981">
        <w:t>.</w:t>
      </w:r>
    </w:p>
    <w:p w14:paraId="7859365A" w14:textId="77777777" w:rsidR="00737A80" w:rsidRPr="000713EE" w:rsidRDefault="00737A80" w:rsidP="00641306">
      <w:pPr>
        <w:spacing w:line="276" w:lineRule="auto"/>
        <w:jc w:val="both"/>
        <w:rPr>
          <w:rFonts w:eastAsia="Calibri"/>
          <w:color w:val="002060"/>
        </w:rPr>
      </w:pPr>
      <w:r w:rsidRPr="000713EE">
        <w:rPr>
          <w:color w:val="002060"/>
        </w:rPr>
        <w:t>Patients with a failing antibody incompatible transplant:</w:t>
      </w:r>
    </w:p>
    <w:p w14:paraId="118702A0" w14:textId="77777777" w:rsidR="00737A80" w:rsidRPr="00557981" w:rsidRDefault="00737A80" w:rsidP="00641306">
      <w:pPr>
        <w:spacing w:line="276" w:lineRule="auto"/>
        <w:jc w:val="both"/>
        <w:rPr>
          <w:rFonts w:eastAsia="Calibri"/>
        </w:rPr>
      </w:pPr>
      <w:r w:rsidRPr="00557981">
        <w:t xml:space="preserve">These patients are very </w:t>
      </w:r>
      <w:proofErr w:type="gramStart"/>
      <w:r w:rsidRPr="00557981">
        <w:t>complex</w:t>
      </w:r>
      <w:proofErr w:type="gramEnd"/>
      <w:r w:rsidRPr="00557981">
        <w:t xml:space="preserve"> and their management should be in discussion with centres with established expertise and experience in antibody incompatible transplantation</w:t>
      </w:r>
      <w:r w:rsidRPr="00557981">
        <w:rPr>
          <w:vertAlign w:val="superscript"/>
        </w:rPr>
        <w:t>23</w:t>
      </w:r>
      <w:r w:rsidRPr="00557981">
        <w:t xml:space="preserve">. This might require collaboration with adult transplant centres. </w:t>
      </w:r>
    </w:p>
    <w:p w14:paraId="037C6535" w14:textId="77777777" w:rsidR="00737A80" w:rsidRPr="00557981" w:rsidRDefault="00737A80" w:rsidP="00737A80">
      <w:pPr>
        <w:pStyle w:val="Heading3"/>
      </w:pPr>
      <w:bookmarkStart w:id="81" w:name="_Toc128329987"/>
      <w:r>
        <w:t xml:space="preserve">5.4 </w:t>
      </w:r>
      <w:r w:rsidRPr="00557981">
        <w:t>Vaccination and infection</w:t>
      </w:r>
      <w:bookmarkEnd w:id="81"/>
    </w:p>
    <w:p w14:paraId="564354C1" w14:textId="77777777" w:rsidR="00737A80" w:rsidRPr="00557981" w:rsidRDefault="00737A80" w:rsidP="00641306">
      <w:pPr>
        <w:spacing w:line="276" w:lineRule="auto"/>
        <w:jc w:val="both"/>
        <w:rPr>
          <w:rFonts w:eastAsia="Calibri"/>
          <w:lang w:val="en-US"/>
        </w:rPr>
      </w:pPr>
      <w:r w:rsidRPr="00557981">
        <w:rPr>
          <w:lang w:val="en-US"/>
        </w:rPr>
        <w:t>Infections are one of the leading causes of morbidity and mortality following solid organ transplantation and children are at particular risk due to the immaturity of their immune system. Consequently, there should be a focus on evaluating and completing vaccination according to local guidelines. Despite their recognized vulnerability, vaccination rates in kidney transplant recipients are recognized to be suboptimal</w:t>
      </w:r>
      <w:r w:rsidRPr="00557981">
        <w:rPr>
          <w:vertAlign w:val="superscript"/>
          <w:lang w:val="en-US"/>
        </w:rPr>
        <w:t>24</w:t>
      </w:r>
      <w:r w:rsidRPr="00557981">
        <w:rPr>
          <w:lang w:val="en-US"/>
        </w:rPr>
        <w:t xml:space="preserve">. </w:t>
      </w:r>
    </w:p>
    <w:p w14:paraId="70175A49" w14:textId="77777777" w:rsidR="00737A80" w:rsidRPr="00557981" w:rsidRDefault="00737A80" w:rsidP="00641306">
      <w:pPr>
        <w:spacing w:line="276" w:lineRule="auto"/>
        <w:rPr>
          <w:rFonts w:eastAsia="Calibri"/>
          <w:lang w:val="en-US"/>
        </w:rPr>
      </w:pPr>
      <w:r w:rsidRPr="00557981">
        <w:rPr>
          <w:lang w:val="en-US"/>
        </w:rPr>
        <w:t>We recommend:</w:t>
      </w:r>
    </w:p>
    <w:p w14:paraId="4AEF8B1E" w14:textId="77777777" w:rsidR="00737A80" w:rsidRPr="00641306" w:rsidRDefault="00737A80" w:rsidP="00346D2E">
      <w:pPr>
        <w:pStyle w:val="ListParagraph"/>
        <w:numPr>
          <w:ilvl w:val="0"/>
          <w:numId w:val="63"/>
        </w:numPr>
        <w:rPr>
          <w:lang w:val="en-US"/>
        </w:rPr>
      </w:pPr>
      <w:r w:rsidRPr="00641306">
        <w:rPr>
          <w:lang w:val="en-US"/>
        </w:rPr>
        <w:t>Completion of all vaccines according to national guidelines (except live vaccines if still taking or within three months of cessation of IS</w:t>
      </w:r>
      <w:r w:rsidRPr="00557981">
        <w:t>).</w:t>
      </w:r>
    </w:p>
    <w:p w14:paraId="62B8ED9D" w14:textId="77777777" w:rsidR="00737A80" w:rsidRPr="00641306" w:rsidRDefault="00737A80" w:rsidP="00346D2E">
      <w:pPr>
        <w:pStyle w:val="ListParagraph"/>
        <w:numPr>
          <w:ilvl w:val="0"/>
          <w:numId w:val="63"/>
        </w:numPr>
        <w:rPr>
          <w:lang w:val="en-US"/>
        </w:rPr>
      </w:pPr>
      <w:r w:rsidRPr="00641306">
        <w:rPr>
          <w:lang w:val="en-US"/>
        </w:rPr>
        <w:t>Additional vaccines for immunocompromised patients as per national guidelines (</w:t>
      </w:r>
      <w:proofErr w:type="gramStart"/>
      <w:r w:rsidRPr="00641306">
        <w:rPr>
          <w:lang w:val="en-US"/>
        </w:rPr>
        <w:t>e.g.</w:t>
      </w:r>
      <w:proofErr w:type="gramEnd"/>
      <w:r w:rsidRPr="00641306">
        <w:rPr>
          <w:lang w:val="en-US"/>
        </w:rPr>
        <w:t xml:space="preserve"> influenza, pneumococcus, COVID 19, HPV).</w:t>
      </w:r>
    </w:p>
    <w:p w14:paraId="6B809991" w14:textId="77777777" w:rsidR="00737A80" w:rsidRPr="00641306" w:rsidRDefault="00737A80" w:rsidP="00346D2E">
      <w:pPr>
        <w:pStyle w:val="ListParagraph"/>
        <w:numPr>
          <w:ilvl w:val="0"/>
          <w:numId w:val="63"/>
        </w:numPr>
        <w:rPr>
          <w:lang w:val="en-US"/>
        </w:rPr>
      </w:pPr>
      <w:r w:rsidRPr="00641306">
        <w:rPr>
          <w:lang w:val="en-US"/>
        </w:rPr>
        <w:t xml:space="preserve">If treatment with Eculizumab is anticipated post-transplant, the patient should receive </w:t>
      </w:r>
      <w:r w:rsidRPr="00557981">
        <w:t>meningococcal vaccination with both a tetravalent A, C, W and Y conjugated vaccine and the multi-component serogroup B vaccine.</w:t>
      </w:r>
    </w:p>
    <w:p w14:paraId="3F904158" w14:textId="5E9CE813" w:rsidR="00737A80" w:rsidRPr="00557981" w:rsidRDefault="00737A80" w:rsidP="00737A80">
      <w:pPr>
        <w:pStyle w:val="Heading3"/>
      </w:pPr>
      <w:bookmarkStart w:id="82" w:name="_Toc128329988"/>
      <w:r>
        <w:t xml:space="preserve">5.5 </w:t>
      </w:r>
      <w:r w:rsidRPr="00557981">
        <w:t>Surgical aspects</w:t>
      </w:r>
      <w:bookmarkEnd w:id="82"/>
    </w:p>
    <w:p w14:paraId="1C279594" w14:textId="00B70756" w:rsidR="00737A80" w:rsidRPr="00557981" w:rsidRDefault="00737A80" w:rsidP="00737A80">
      <w:pPr>
        <w:pStyle w:val="Heading4"/>
        <w:rPr>
          <w:rFonts w:eastAsia="Calibri"/>
        </w:rPr>
      </w:pPr>
      <w:bookmarkStart w:id="83" w:name="_Toc128329989"/>
      <w:r>
        <w:t>5.</w:t>
      </w:r>
      <w:r w:rsidRPr="00557981">
        <w:t xml:space="preserve">5.1 </w:t>
      </w:r>
      <w:r w:rsidR="00F00B65">
        <w:tab/>
      </w:r>
      <w:r w:rsidRPr="00557981">
        <w:t>Transplant Nephrectomy</w:t>
      </w:r>
      <w:bookmarkEnd w:id="83"/>
      <w:r w:rsidRPr="00557981">
        <w:t xml:space="preserve"> </w:t>
      </w:r>
    </w:p>
    <w:p w14:paraId="35A2029E" w14:textId="77777777" w:rsidR="00737A80" w:rsidRPr="00557981" w:rsidRDefault="00737A80" w:rsidP="00641306">
      <w:pPr>
        <w:spacing w:line="276" w:lineRule="auto"/>
        <w:jc w:val="both"/>
        <w:rPr>
          <w:rFonts w:eastAsia="Calibri"/>
          <w:lang w:val="en-US"/>
        </w:rPr>
      </w:pPr>
      <w:r w:rsidRPr="00557981">
        <w:rPr>
          <w:lang w:val="en-US"/>
        </w:rPr>
        <w:t>There are no recommendations for the timing and indications for transplant nephrectomy. A recent review did not find any significant demographic differences between those who underwent transplant nephrectomy and those who did not. The commonest reason for nephrectomy was allograft tenderness. Patients that underwent nephrectomy were more likely to have a prior diagnosis of rejection within three months. Nephrectomy of allografts did not affect time to re-listing for second kidney transplant or donor source at re-transplantation but significantly decreased time to and incidence of complete cessation of immunosuppression post-graft failure</w:t>
      </w:r>
      <w:r w:rsidRPr="00557981">
        <w:rPr>
          <w:vertAlign w:val="superscript"/>
          <w:lang w:val="en-US"/>
        </w:rPr>
        <w:t>24</w:t>
      </w:r>
      <w:r w:rsidRPr="00557981">
        <w:rPr>
          <w:lang w:val="en-US"/>
        </w:rPr>
        <w:t>. Following transplant nephrectomy of the first allograft, recipients were significantly more likely to have rejection after re-transplantation and multiple episodes of rejection in the first year after re-transplant</w:t>
      </w:r>
      <w:r w:rsidRPr="00557981">
        <w:rPr>
          <w:vertAlign w:val="superscript"/>
          <w:lang w:val="en-US"/>
        </w:rPr>
        <w:t>25</w:t>
      </w:r>
      <w:r w:rsidRPr="00557981">
        <w:rPr>
          <w:lang w:val="en-US"/>
        </w:rPr>
        <w:t xml:space="preserve">. </w:t>
      </w:r>
    </w:p>
    <w:p w14:paraId="234B358D" w14:textId="77777777" w:rsidR="00737A80" w:rsidRPr="00557981" w:rsidRDefault="00737A80" w:rsidP="00641306">
      <w:pPr>
        <w:spacing w:line="276" w:lineRule="auto"/>
        <w:jc w:val="both"/>
        <w:rPr>
          <w:rFonts w:eastAsia="Calibri"/>
          <w:lang w:val="en-US"/>
        </w:rPr>
      </w:pPr>
      <w:r w:rsidRPr="00557981">
        <w:rPr>
          <w:lang w:val="en-US"/>
        </w:rPr>
        <w:t>We recommend that indications for allograft nephrectomy are discussed within multidisciplinary teams and made individually for each patient based on clinical circumstances</w:t>
      </w:r>
      <w:r w:rsidRPr="00557981">
        <w:rPr>
          <w:vertAlign w:val="superscript"/>
          <w:lang w:val="en-US"/>
        </w:rPr>
        <w:t>26,27</w:t>
      </w:r>
      <w:r w:rsidRPr="00557981">
        <w:rPr>
          <w:lang w:val="en-US"/>
        </w:rPr>
        <w:t xml:space="preserve">. </w:t>
      </w:r>
    </w:p>
    <w:p w14:paraId="17522702" w14:textId="08A113E6" w:rsidR="00737A80" w:rsidRPr="00557981" w:rsidRDefault="00737A80" w:rsidP="00737A80">
      <w:pPr>
        <w:pStyle w:val="Heading4"/>
        <w:rPr>
          <w:rFonts w:eastAsia="Calibri"/>
        </w:rPr>
      </w:pPr>
      <w:bookmarkStart w:id="84" w:name="_Toc128329990"/>
      <w:r>
        <w:t>5.</w:t>
      </w:r>
      <w:r w:rsidRPr="00557981">
        <w:t xml:space="preserve">5.2 </w:t>
      </w:r>
      <w:r w:rsidR="00F00B65">
        <w:tab/>
      </w:r>
      <w:r w:rsidRPr="00557981">
        <w:t>Bladder management</w:t>
      </w:r>
      <w:bookmarkEnd w:id="84"/>
      <w:r w:rsidRPr="00557981">
        <w:t xml:space="preserve"> </w:t>
      </w:r>
    </w:p>
    <w:p w14:paraId="45AF47D3" w14:textId="77777777" w:rsidR="00737A80" w:rsidRPr="00557981" w:rsidRDefault="00737A80" w:rsidP="00641306">
      <w:pPr>
        <w:spacing w:line="276" w:lineRule="auto"/>
        <w:jc w:val="both"/>
        <w:rPr>
          <w:rFonts w:eastAsia="Calibri"/>
          <w:lang w:val="en-US"/>
        </w:rPr>
      </w:pPr>
      <w:r w:rsidRPr="00557981">
        <w:rPr>
          <w:lang w:val="en-US"/>
        </w:rPr>
        <w:t xml:space="preserve">Children with CAKUT can continue to have bladder issues post-transplant. Once immunosuppressed, they may have an increased tendency to develop urinary tract infections. </w:t>
      </w:r>
    </w:p>
    <w:p w14:paraId="70634A28" w14:textId="77777777" w:rsidR="00737A80" w:rsidRPr="00557981" w:rsidRDefault="00737A80" w:rsidP="00641306">
      <w:pPr>
        <w:spacing w:line="276" w:lineRule="auto"/>
        <w:jc w:val="both"/>
        <w:rPr>
          <w:rFonts w:eastAsia="Calibri"/>
        </w:rPr>
      </w:pPr>
      <w:r w:rsidRPr="00557981">
        <w:lastRenderedPageBreak/>
        <w:t>Bladder augmentation or another surgical intervention (for example ureteric re-implantation or ureterostomy) may be required post-transplantation.</w:t>
      </w:r>
    </w:p>
    <w:p w14:paraId="2C20DEF0" w14:textId="77777777" w:rsidR="00737A80" w:rsidRPr="00557981" w:rsidRDefault="00737A80" w:rsidP="00641306">
      <w:pPr>
        <w:spacing w:line="276" w:lineRule="auto"/>
        <w:jc w:val="both"/>
        <w:rPr>
          <w:rFonts w:eastAsia="Calibri"/>
        </w:rPr>
      </w:pPr>
      <w:r w:rsidRPr="00557981">
        <w:t xml:space="preserve">It is important that these children continue to empty their bladders completely. If they have </w:t>
      </w:r>
      <w:r>
        <w:t xml:space="preserve">an </w:t>
      </w:r>
      <w:r w:rsidRPr="00557981">
        <w:t xml:space="preserve">augmented bladder or </w:t>
      </w:r>
      <w:r>
        <w:t xml:space="preserve">a </w:t>
      </w:r>
      <w:r w:rsidRPr="00557981">
        <w:t>Mitrofanoffs, they need to continue to catheterise regularly and completely</w:t>
      </w:r>
      <w:r w:rsidRPr="00557981">
        <w:rPr>
          <w:vertAlign w:val="superscript"/>
        </w:rPr>
        <w:t>28</w:t>
      </w:r>
      <w:r w:rsidRPr="00557981">
        <w:t xml:space="preserve">. </w:t>
      </w:r>
    </w:p>
    <w:p w14:paraId="04156127" w14:textId="77777777" w:rsidR="00737A80" w:rsidRPr="00557981" w:rsidRDefault="00737A80" w:rsidP="00641306">
      <w:pPr>
        <w:spacing w:line="276" w:lineRule="auto"/>
        <w:jc w:val="both"/>
        <w:rPr>
          <w:rFonts w:eastAsia="Calibri"/>
        </w:rPr>
      </w:pPr>
      <w:r w:rsidRPr="00557981">
        <w:t xml:space="preserve">Constipation also needs to be avoided as it affects bladder emptying. Failing to comply with bladder hygiene can lead to further recurrent UTIs and worsening of allograft function. </w:t>
      </w:r>
    </w:p>
    <w:p w14:paraId="433CBEFA" w14:textId="77777777" w:rsidR="00737A80" w:rsidRPr="00557981" w:rsidRDefault="00737A80" w:rsidP="00641306">
      <w:pPr>
        <w:spacing w:line="276" w:lineRule="auto"/>
        <w:jc w:val="both"/>
        <w:rPr>
          <w:rFonts w:eastAsia="Calibri"/>
        </w:rPr>
      </w:pPr>
      <w:r w:rsidRPr="00557981">
        <w:t>We recommend an annual review by the bladder/urology teams with regular bladder function assessments to understand bladder capacity as the children continue to grow and bladder dynamics change. Transplant and low-clearance teams should continue to educate patients and families in ways understandable to them.</w:t>
      </w:r>
    </w:p>
    <w:p w14:paraId="0C77644D" w14:textId="77777777" w:rsidR="00737A80" w:rsidRPr="00557981" w:rsidRDefault="00737A80" w:rsidP="00737A80">
      <w:pPr>
        <w:pStyle w:val="Heading3"/>
        <w:rPr>
          <w:rFonts w:eastAsia="Calibri"/>
        </w:rPr>
      </w:pPr>
      <w:bookmarkStart w:id="85" w:name="_Toc128329991"/>
      <w:r>
        <w:t>5.</w:t>
      </w:r>
      <w:r w:rsidRPr="00557981">
        <w:t>6. Vascular access/ Dialysis options</w:t>
      </w:r>
      <w:bookmarkEnd w:id="85"/>
      <w:r w:rsidRPr="00557981">
        <w:rPr>
          <w:color w:val="FF0000"/>
          <w:u w:color="FF0000"/>
        </w:rPr>
        <w:t xml:space="preserve"> </w:t>
      </w:r>
    </w:p>
    <w:p w14:paraId="5B4F8B87" w14:textId="77777777" w:rsidR="00737A80" w:rsidRPr="00557981" w:rsidRDefault="00737A80" w:rsidP="00641306">
      <w:pPr>
        <w:spacing w:line="276" w:lineRule="auto"/>
        <w:jc w:val="both"/>
        <w:rPr>
          <w:rFonts w:eastAsia="Calibri"/>
        </w:rPr>
      </w:pPr>
      <w:r w:rsidRPr="00557981">
        <w:t>Children with ESKD have a lifetime of moving between transplant and dialysis teams. It is therefore imperative that when their transplant fails, they have a choice of dialysis modality which best suits them and their lifestyle.</w:t>
      </w:r>
      <w:r>
        <w:rPr>
          <w:rFonts w:eastAsia="Calibri"/>
        </w:rPr>
        <w:t xml:space="preserve"> </w:t>
      </w:r>
      <w:r w:rsidRPr="00557981">
        <w:t>Measures to preserve sites for vascular access, from the time of diagnosis is the key to enable care providers to offer this choice.</w:t>
      </w:r>
      <w:r>
        <w:rPr>
          <w:rFonts w:eastAsia="Calibri"/>
        </w:rPr>
        <w:t xml:space="preserve"> </w:t>
      </w:r>
      <w:r w:rsidRPr="00557981">
        <w:t xml:space="preserve">The back of the hand should be used for phlebotomy where possible. This will allow preservation of limb and central vasculature for future use. </w:t>
      </w:r>
    </w:p>
    <w:p w14:paraId="15A8A4AB" w14:textId="77777777" w:rsidR="00737A80" w:rsidRPr="00557981" w:rsidRDefault="00737A80" w:rsidP="00641306">
      <w:pPr>
        <w:spacing w:line="276" w:lineRule="auto"/>
        <w:jc w:val="both"/>
        <w:rPr>
          <w:rFonts w:eastAsia="Calibri"/>
        </w:rPr>
      </w:pPr>
      <w:r w:rsidRPr="00557981">
        <w:t xml:space="preserve">Continued patient and staff education is crucial for these vulnerable children.  </w:t>
      </w:r>
    </w:p>
    <w:p w14:paraId="01C1F9CF" w14:textId="77777777" w:rsidR="00737A80" w:rsidRPr="00692E6E" w:rsidRDefault="00737A80" w:rsidP="00641306">
      <w:pPr>
        <w:spacing w:line="276" w:lineRule="auto"/>
        <w:jc w:val="both"/>
        <w:rPr>
          <w:rFonts w:eastAsia="Calibri"/>
        </w:rPr>
      </w:pPr>
      <w:r w:rsidRPr="00557981">
        <w:t xml:space="preserve">For children who are deemed suitable candidates for fistula formation, early referral to vascular access teams should be considered. Children with failing transplants are recommended to have an assessment with the vascular access team to allow optimisation of their choices. </w:t>
      </w:r>
    </w:p>
    <w:p w14:paraId="09992AD5" w14:textId="77777777" w:rsidR="00737A80" w:rsidRPr="00692E6E" w:rsidRDefault="00737A80" w:rsidP="00737A80">
      <w:pPr>
        <w:pStyle w:val="Heading3"/>
        <w:rPr>
          <w:rFonts w:eastAsia="Calibri"/>
        </w:rPr>
      </w:pPr>
      <w:bookmarkStart w:id="86" w:name="_Toc128329992"/>
      <w:r>
        <w:t>5.</w:t>
      </w:r>
      <w:r w:rsidRPr="00557981">
        <w:t>7. Transition to adult services</w:t>
      </w:r>
      <w:bookmarkEnd w:id="86"/>
      <w:r w:rsidRPr="00557981">
        <w:t xml:space="preserve"> </w:t>
      </w:r>
    </w:p>
    <w:p w14:paraId="540CDC6F" w14:textId="77777777" w:rsidR="00737A80" w:rsidRPr="00557981" w:rsidRDefault="00737A80" w:rsidP="00641306">
      <w:pPr>
        <w:spacing w:line="276" w:lineRule="auto"/>
        <w:jc w:val="both"/>
        <w:rPr>
          <w:rFonts w:eastAsia="Calibri"/>
        </w:rPr>
      </w:pPr>
      <w:r w:rsidRPr="00557981">
        <w:t xml:space="preserve">Numerous studies have illustrated the importance of effective transition in empowering young adults </w:t>
      </w:r>
      <w:r>
        <w:t>to manage</w:t>
      </w:r>
      <w:r w:rsidRPr="00557981">
        <w:t xml:space="preserve"> their own health. This is particularly important in young adults with a failing transplant. The transition process should be individually tailored and should </w:t>
      </w:r>
      <w:r>
        <w:t>enable</w:t>
      </w:r>
      <w:r w:rsidRPr="00557981">
        <w:t xml:space="preserve"> them to understand their ongoing management</w:t>
      </w:r>
      <w:r>
        <w:t>,</w:t>
      </w:r>
      <w:r w:rsidRPr="00557981">
        <w:t xml:space="preserve"> the workings of the health system and how to navigate it</w:t>
      </w:r>
      <w:r w:rsidRPr="00557981">
        <w:rPr>
          <w:vertAlign w:val="superscript"/>
        </w:rPr>
        <w:t>29</w:t>
      </w:r>
      <w:r w:rsidRPr="00557981">
        <w:t xml:space="preserve">. </w:t>
      </w:r>
    </w:p>
    <w:p w14:paraId="0C7181DC" w14:textId="77777777" w:rsidR="00737A80" w:rsidRPr="00557981" w:rsidRDefault="00737A80" w:rsidP="00641306">
      <w:pPr>
        <w:spacing w:line="276" w:lineRule="auto"/>
        <w:jc w:val="both"/>
        <w:rPr>
          <w:rFonts w:eastAsia="Calibri"/>
        </w:rPr>
      </w:pPr>
      <w:r>
        <w:t>Consideration of any l</w:t>
      </w:r>
      <w:r w:rsidRPr="00557981">
        <w:t xml:space="preserve">earning difficulties and disabilities are also important to consider when transitioning care. </w:t>
      </w:r>
    </w:p>
    <w:p w14:paraId="798F7C8E" w14:textId="77777777" w:rsidR="00737A80" w:rsidRPr="00557981" w:rsidRDefault="00737A80" w:rsidP="00641306">
      <w:pPr>
        <w:spacing w:line="276" w:lineRule="auto"/>
        <w:jc w:val="both"/>
        <w:rPr>
          <w:rFonts w:eastAsia="Calibri"/>
        </w:rPr>
      </w:pPr>
      <w:r w:rsidRPr="00557981">
        <w:t> </w:t>
      </w:r>
      <w:r>
        <w:t>For the subgroup of recipients with urological considerations</w:t>
      </w:r>
      <w:r w:rsidRPr="00557981">
        <w:t xml:space="preserve">, it is essential that an appropriate adult urologist is concurrently identified </w:t>
      </w:r>
      <w:r>
        <w:t>to oversee</w:t>
      </w:r>
      <w:r w:rsidRPr="00557981">
        <w:t xml:space="preserve"> the</w:t>
      </w:r>
      <w:r>
        <w:t>ir</w:t>
      </w:r>
      <w:r w:rsidRPr="00557981">
        <w:t xml:space="preserve"> transitio</w:t>
      </w:r>
      <w:r>
        <w:t>n</w:t>
      </w:r>
      <w:r w:rsidRPr="00557981">
        <w:t>. This is to ensure ongoing regular check-ups and maintenance input such as catheter management is made for patients with abnormal bladders. As the patient matures, body habitus changes hence revision of procedures such as a Mitrofanoff may be required</w:t>
      </w:r>
      <w:r w:rsidRPr="00557981">
        <w:rPr>
          <w:vertAlign w:val="superscript"/>
        </w:rPr>
        <w:t>30</w:t>
      </w:r>
      <w:r w:rsidRPr="00557981">
        <w:t xml:space="preserve">. </w:t>
      </w:r>
    </w:p>
    <w:p w14:paraId="10AA572A" w14:textId="77777777" w:rsidR="00737A80" w:rsidRPr="00557981" w:rsidRDefault="00737A80" w:rsidP="00641306">
      <w:pPr>
        <w:spacing w:line="276" w:lineRule="auto"/>
        <w:jc w:val="both"/>
        <w:rPr>
          <w:rFonts w:eastAsia="Calibri"/>
        </w:rPr>
      </w:pPr>
      <w:r w:rsidRPr="00557981">
        <w:t>Potential adherence, social and psychological issues need to be explored in detail from the point of identification of the failing transplant and appropriate support needs to be put in place for the pre-, -peri- and post- transition period. Readiness for re-transplantation also needs to be addressed often requiring multidisciplinary input involving Young Adult Workers (YAW) and Psycho-social teams.</w:t>
      </w:r>
    </w:p>
    <w:p w14:paraId="71DE983B" w14:textId="77777777" w:rsidR="00737A80" w:rsidRPr="00557981" w:rsidRDefault="00737A80" w:rsidP="00737A80">
      <w:pPr>
        <w:pStyle w:val="Heading3"/>
      </w:pPr>
      <w:bookmarkStart w:id="87" w:name="_Toc128329993"/>
      <w:r>
        <w:t>5.</w:t>
      </w:r>
      <w:r w:rsidRPr="00557981">
        <w:t>8.  Multi-disciplinary approach</w:t>
      </w:r>
      <w:bookmarkEnd w:id="87"/>
      <w:r w:rsidRPr="00557981">
        <w:t xml:space="preserve"> </w:t>
      </w:r>
    </w:p>
    <w:p w14:paraId="0383158F" w14:textId="77777777" w:rsidR="00737A80" w:rsidRPr="00557981" w:rsidRDefault="00737A80" w:rsidP="00641306">
      <w:pPr>
        <w:spacing w:line="276" w:lineRule="auto"/>
        <w:jc w:val="both"/>
        <w:rPr>
          <w:rFonts w:eastAsia="Calibri"/>
        </w:rPr>
      </w:pPr>
      <w:r w:rsidRPr="00557981">
        <w:t xml:space="preserve">It is imperative that children with failing allografts receive ongoing support from not only the clinical and dietetic teams but also from psychosocial teams. A failing allograft adds a huge psychological </w:t>
      </w:r>
      <w:r w:rsidRPr="00557981">
        <w:lastRenderedPageBreak/>
        <w:t>burden not only on the young person but also the wider family. No quality-of-life data are currently available for children with failing allografts which must be a priority for future studies</w:t>
      </w:r>
      <w:r w:rsidRPr="00557981">
        <w:rPr>
          <w:vertAlign w:val="superscript"/>
        </w:rPr>
        <w:t>31</w:t>
      </w:r>
      <w:r w:rsidRPr="00557981">
        <w:t xml:space="preserve">. </w:t>
      </w:r>
    </w:p>
    <w:p w14:paraId="56DEC7D2" w14:textId="77777777" w:rsidR="00737A80" w:rsidRPr="00480931" w:rsidRDefault="00737A80" w:rsidP="00737A80">
      <w:pPr>
        <w:pStyle w:val="Heading2"/>
        <w:rPr>
          <w:lang w:val="es-ES"/>
        </w:rPr>
      </w:pPr>
      <w:bookmarkStart w:id="88" w:name="_Toc128329994"/>
      <w:r w:rsidRPr="00480931">
        <w:rPr>
          <w:lang w:val="es-ES"/>
        </w:rPr>
        <w:t>References</w:t>
      </w:r>
      <w:bookmarkEnd w:id="88"/>
    </w:p>
    <w:p w14:paraId="3BA497F5" w14:textId="77777777" w:rsidR="00737A80" w:rsidRPr="00557981" w:rsidRDefault="00737A80" w:rsidP="00641306">
      <w:pPr>
        <w:spacing w:line="276" w:lineRule="auto"/>
        <w:contextualSpacing/>
        <w:jc w:val="both"/>
        <w:rPr>
          <w:rFonts w:eastAsia="Calibri"/>
        </w:rPr>
      </w:pPr>
      <w:r w:rsidRPr="00480931">
        <w:rPr>
          <w:lang w:val="es-ES"/>
        </w:rPr>
        <w:t xml:space="preserve">1. Lofaro D. et al. </w:t>
      </w:r>
      <w:r w:rsidRPr="00557981">
        <w:t>Multicenter Study. Identification of subgroups by risk of graft failure after paediatric renal transplantation: application of survival tree models on the ESPN/ERA-EDTA Registry Nephrol Dial Transplant. 2016 Feb;31(2):317-24.</w:t>
      </w:r>
    </w:p>
    <w:p w14:paraId="34667596" w14:textId="77777777" w:rsidR="00737A80" w:rsidRPr="00557981" w:rsidRDefault="00737A80" w:rsidP="00641306">
      <w:pPr>
        <w:spacing w:line="276" w:lineRule="auto"/>
        <w:contextualSpacing/>
        <w:jc w:val="both"/>
        <w:rPr>
          <w:rFonts w:eastAsia="Calibri"/>
        </w:rPr>
      </w:pPr>
      <w:r w:rsidRPr="00557981">
        <w:t xml:space="preserve">2. Harada R. et al. Epidemiology of pediatric chronic kidney disease/kidney failure: learning from registries and cohort studies. Pediatr Nephrol. 2022 Jun;37(6):1215-1229. </w:t>
      </w:r>
    </w:p>
    <w:p w14:paraId="59B9BE54" w14:textId="77777777" w:rsidR="00737A80" w:rsidRPr="00557981" w:rsidRDefault="00737A80" w:rsidP="00641306">
      <w:pPr>
        <w:spacing w:line="276" w:lineRule="auto"/>
        <w:contextualSpacing/>
        <w:jc w:val="both"/>
        <w:rPr>
          <w:rFonts w:eastAsia="Calibri"/>
        </w:rPr>
      </w:pPr>
      <w:r w:rsidRPr="00557981">
        <w:t>3. Phonphok K. et al.  Time to second kidney transplantation in young adults after failed pediatric kidney transplant.  Pediatr Transplan. 2020 Nov;24(7</w:t>
      </w:r>
      <w:proofErr w:type="gramStart"/>
      <w:r w:rsidRPr="00557981">
        <w:t>):e</w:t>
      </w:r>
      <w:proofErr w:type="gramEnd"/>
      <w:r w:rsidRPr="00557981">
        <w:t>13800.</w:t>
      </w:r>
    </w:p>
    <w:p w14:paraId="45C77741" w14:textId="77777777" w:rsidR="00737A80" w:rsidRPr="00557981" w:rsidRDefault="00737A80" w:rsidP="00641306">
      <w:pPr>
        <w:spacing w:line="276" w:lineRule="auto"/>
        <w:contextualSpacing/>
        <w:jc w:val="both"/>
        <w:rPr>
          <w:rFonts w:eastAsia="Calibri"/>
        </w:rPr>
      </w:pPr>
      <w:r w:rsidRPr="00557981">
        <w:t xml:space="preserve">4. Ashore IF. et al. </w:t>
      </w:r>
      <w:proofErr w:type="gramStart"/>
      <w:r w:rsidRPr="00557981">
        <w:t>Non-immunologic</w:t>
      </w:r>
      <w:proofErr w:type="gramEnd"/>
      <w:r w:rsidRPr="00557981">
        <w:t xml:space="preserve"> allograft loss in pediatric kidney transplant recipients. Review Pediatr Nephrol. 2019 Feb;34(2):211-222.  </w:t>
      </w:r>
    </w:p>
    <w:p w14:paraId="1036D12F" w14:textId="77777777" w:rsidR="00737A80" w:rsidRPr="00557981" w:rsidRDefault="00737A80" w:rsidP="00641306">
      <w:pPr>
        <w:spacing w:line="276" w:lineRule="auto"/>
        <w:contextualSpacing/>
        <w:jc w:val="both"/>
        <w:rPr>
          <w:rFonts w:eastAsia="Calibri"/>
        </w:rPr>
      </w:pPr>
      <w:r w:rsidRPr="00557981">
        <w:t>5. Van Stralen KJ. et al. Impact of graft loss among kidney diseases with a high risk of post-transplant recurrence in the paediatric population. Nephrol Dial Transplant. 2013 Apr;28(4):1031-8.</w:t>
      </w:r>
    </w:p>
    <w:p w14:paraId="2203A003" w14:textId="77777777" w:rsidR="00737A80" w:rsidRPr="00557981" w:rsidRDefault="00737A80" w:rsidP="00641306">
      <w:pPr>
        <w:spacing w:line="276" w:lineRule="auto"/>
        <w:contextualSpacing/>
        <w:jc w:val="both"/>
        <w:rPr>
          <w:rFonts w:eastAsia="Calibri"/>
        </w:rPr>
      </w:pPr>
      <w:r w:rsidRPr="00557981">
        <w:t>6. Graves RC. et al. Kidney retransplantation in children following rejection and recurrent disease. Pediatr Nephrol. 2016 Dec;31(12):2235-2247.</w:t>
      </w:r>
    </w:p>
    <w:p w14:paraId="001E65D1" w14:textId="6BC2F0CE" w:rsidR="00737A80" w:rsidRPr="00557981" w:rsidRDefault="00737A80" w:rsidP="00641306">
      <w:pPr>
        <w:spacing w:line="276" w:lineRule="auto"/>
        <w:contextualSpacing/>
        <w:jc w:val="both"/>
        <w:rPr>
          <w:rFonts w:eastAsia="Calibri"/>
        </w:rPr>
      </w:pPr>
      <w:r w:rsidRPr="00557981">
        <w:t>7. Cachat P. et al. Disease recurrence in paediatric renal transplantation. Review Pediatr Nephrol. 2009 Nov;24(11):2097-108.</w:t>
      </w:r>
    </w:p>
    <w:p w14:paraId="2934A46C" w14:textId="77777777" w:rsidR="00737A80" w:rsidRPr="00557981" w:rsidRDefault="00737A80" w:rsidP="00641306">
      <w:pPr>
        <w:spacing w:line="276" w:lineRule="auto"/>
        <w:contextualSpacing/>
        <w:jc w:val="both"/>
        <w:rPr>
          <w:rFonts w:eastAsia="Calibri"/>
        </w:rPr>
      </w:pPr>
      <w:r w:rsidRPr="00557981">
        <w:t>8. Ellis E. Et al. Comparative Study. Factors related to long-term renal transplant function in children. Pediatr Nephrol. 2008 Jul;23(7):1149-55</w:t>
      </w:r>
    </w:p>
    <w:p w14:paraId="63947E21" w14:textId="77777777" w:rsidR="00737A80" w:rsidRPr="00557981" w:rsidRDefault="00737A80" w:rsidP="00641306">
      <w:pPr>
        <w:spacing w:line="276" w:lineRule="auto"/>
        <w:contextualSpacing/>
        <w:jc w:val="both"/>
        <w:rPr>
          <w:rFonts w:eastAsia="Calibri"/>
        </w:rPr>
      </w:pPr>
      <w:r w:rsidRPr="00557981">
        <w:t xml:space="preserve">9. Lofaro D. et al. Identification of subgroups by risk if graft failure after paediatric renal transplantation:application of survival tree models on the ESPN/ERA-EDTA Registry. Nephrol Dial Transplant. 2016;31(2):317-24. </w:t>
      </w:r>
    </w:p>
    <w:p w14:paraId="52B7975F" w14:textId="77777777" w:rsidR="00737A80" w:rsidRPr="00557981" w:rsidRDefault="00737A80" w:rsidP="00641306">
      <w:pPr>
        <w:spacing w:line="276" w:lineRule="auto"/>
        <w:contextualSpacing/>
        <w:jc w:val="both"/>
        <w:rPr>
          <w:rFonts w:eastAsia="Calibri"/>
        </w:rPr>
      </w:pPr>
      <w:r w:rsidRPr="00557981">
        <w:t>10. Mitsnefes MM. et al. Hypertension and end-organ damage in pediatric renal transplantation. Pediatr Transept. 2004;8(4):394-9.</w:t>
      </w:r>
    </w:p>
    <w:p w14:paraId="6836FA1D" w14:textId="77777777" w:rsidR="00737A80" w:rsidRPr="00557981" w:rsidRDefault="00737A80" w:rsidP="00641306">
      <w:pPr>
        <w:spacing w:line="276" w:lineRule="auto"/>
        <w:contextualSpacing/>
        <w:jc w:val="both"/>
        <w:rPr>
          <w:rFonts w:eastAsia="Calibri"/>
        </w:rPr>
      </w:pPr>
      <w:r w:rsidRPr="00557981">
        <w:t>11. Wuhl E. et al. German Working Group on Pediatric Hypertension. Distribution of 24-h ambulatory blood pressure in children: normalized reference values and role of body d</w:t>
      </w:r>
      <w:r>
        <w:t>i</w:t>
      </w:r>
      <w:r w:rsidRPr="00557981">
        <w:t>mensions. J Hypertens (2002) 20(10):1995–2007.</w:t>
      </w:r>
    </w:p>
    <w:p w14:paraId="20262C3D" w14:textId="77777777" w:rsidR="00737A80" w:rsidRPr="00557981" w:rsidRDefault="00737A80" w:rsidP="00641306">
      <w:pPr>
        <w:spacing w:line="276" w:lineRule="auto"/>
        <w:contextualSpacing/>
        <w:jc w:val="both"/>
        <w:rPr>
          <w:rFonts w:eastAsia="Calibri"/>
        </w:rPr>
      </w:pPr>
      <w:r w:rsidRPr="00557981">
        <w:t xml:space="preserve">12. Krmar RT. et al. Clinical value of ambulatory blood pressure in pediatric patients after renal transplantation. Pediatr Nephrol. 2018 Aug;33(8):1327-1336. </w:t>
      </w:r>
    </w:p>
    <w:p w14:paraId="737BE3BE" w14:textId="77777777" w:rsidR="00737A80" w:rsidRPr="00557981" w:rsidRDefault="00737A80" w:rsidP="00641306">
      <w:pPr>
        <w:spacing w:line="276" w:lineRule="auto"/>
        <w:contextualSpacing/>
        <w:jc w:val="both"/>
        <w:rPr>
          <w:rFonts w:eastAsia="Calibri"/>
        </w:rPr>
      </w:pPr>
      <w:r w:rsidRPr="00557981">
        <w:t>13. Mitsnefes MM. Et al. Short-term pediatric renal transplant survival: blood pressure and allograft function. Pediatr Transplant 2001: 5: 160–165.</w:t>
      </w:r>
    </w:p>
    <w:p w14:paraId="72DCEA14" w14:textId="77777777" w:rsidR="00737A80" w:rsidRPr="00557981" w:rsidRDefault="00737A80" w:rsidP="00641306">
      <w:pPr>
        <w:spacing w:line="276" w:lineRule="auto"/>
        <w:contextualSpacing/>
        <w:jc w:val="both"/>
        <w:rPr>
          <w:rFonts w:eastAsia="Calibri"/>
        </w:rPr>
      </w:pPr>
      <w:r w:rsidRPr="00557981">
        <w:t>14. Krischock LA. Et al. Anemia in children following renal transplantation-results from the ESPN/ERA-EDTA Registry. ESPN/ERA-EDTA Registry. Pediatr Nephrol. 2016;31(2):325.</w:t>
      </w:r>
    </w:p>
    <w:p w14:paraId="200CFD6D" w14:textId="77777777" w:rsidR="00737A80" w:rsidRPr="00557981" w:rsidRDefault="00737A80" w:rsidP="00641306">
      <w:pPr>
        <w:spacing w:line="276" w:lineRule="auto"/>
        <w:contextualSpacing/>
        <w:jc w:val="both"/>
        <w:rPr>
          <w:rFonts w:eastAsia="Arial"/>
        </w:rPr>
      </w:pPr>
      <w:r w:rsidRPr="00557981">
        <w:t xml:space="preserve">15. Lubetzky M. Et al. The Failing Kidney Allograft: </w:t>
      </w:r>
      <w:proofErr w:type="gramStart"/>
      <w:r w:rsidRPr="00557981">
        <w:t>a</w:t>
      </w:r>
      <w:proofErr w:type="gramEnd"/>
      <w:r w:rsidRPr="00557981">
        <w:t xml:space="preserve"> Review and recommendations for the care and management of complex group of patients. Am J Transplant. 2021 Sept;21(9):2937-2949. </w:t>
      </w:r>
    </w:p>
    <w:p w14:paraId="2D62F153" w14:textId="77777777" w:rsidR="00737A80" w:rsidRPr="00557981" w:rsidRDefault="00737A80" w:rsidP="00641306">
      <w:pPr>
        <w:spacing w:line="276" w:lineRule="auto"/>
        <w:contextualSpacing/>
        <w:jc w:val="both"/>
        <w:rPr>
          <w:rFonts w:eastAsia="Calibri"/>
        </w:rPr>
      </w:pPr>
      <w:r w:rsidRPr="00557981">
        <w:t>16. Franke D. Et al. Kidney transplantation fails to provide adequate growth in children with chronic kidney disease born small for gestational age. Pediatr Nephrol. 2017 Mar;32(3):511-519.</w:t>
      </w:r>
    </w:p>
    <w:p w14:paraId="47D0D5DE" w14:textId="77777777" w:rsidR="00737A80" w:rsidRPr="00480931" w:rsidRDefault="00737A80" w:rsidP="00641306">
      <w:pPr>
        <w:spacing w:line="276" w:lineRule="auto"/>
        <w:contextualSpacing/>
        <w:jc w:val="both"/>
        <w:rPr>
          <w:rFonts w:eastAsia="Calibri"/>
        </w:rPr>
      </w:pPr>
      <w:r w:rsidRPr="00557981">
        <w:t xml:space="preserve">17.Franke et al. Patterns of growth after kidney transplantation among children with ESRD. </w:t>
      </w:r>
      <w:r w:rsidRPr="00480931">
        <w:t>Clin J Am Soc Nephrol. 2015 Jan 7;10(1):127-34.</w:t>
      </w:r>
    </w:p>
    <w:p w14:paraId="31A981E3" w14:textId="77777777" w:rsidR="00737A80" w:rsidRPr="00557981" w:rsidRDefault="00737A80" w:rsidP="00641306">
      <w:pPr>
        <w:spacing w:line="276" w:lineRule="auto"/>
        <w:contextualSpacing/>
        <w:jc w:val="both"/>
        <w:rPr>
          <w:rFonts w:eastAsia="Calibri"/>
        </w:rPr>
      </w:pPr>
      <w:r w:rsidRPr="00480931">
        <w:t xml:space="preserve">18. Mehls O. Et al. </w:t>
      </w:r>
      <w:r w:rsidRPr="00557981">
        <w:t xml:space="preserve">Growth hormone treatment after renal transplantation: a promising but underused chance to improve growth. </w:t>
      </w:r>
      <w:proofErr w:type="gramStart"/>
      <w:r w:rsidRPr="00557981">
        <w:t>Editorial  Pediatr</w:t>
      </w:r>
      <w:proofErr w:type="gramEnd"/>
      <w:r w:rsidRPr="00557981">
        <w:t xml:space="preserve"> Nephrol. 2013 Jan;28(1):1-4. </w:t>
      </w:r>
    </w:p>
    <w:p w14:paraId="4EE8ABF1" w14:textId="77777777" w:rsidR="00737A80" w:rsidRPr="00557981" w:rsidRDefault="00737A80" w:rsidP="00641306">
      <w:pPr>
        <w:spacing w:line="276" w:lineRule="auto"/>
        <w:contextualSpacing/>
        <w:jc w:val="both"/>
        <w:rPr>
          <w:rFonts w:eastAsia="Calibri"/>
        </w:rPr>
      </w:pPr>
      <w:r w:rsidRPr="00557981">
        <w:t xml:space="preserve">19. Lubetzky M. et al. The failing kidney allograft: A review and recommendations for the care and management of a complex group of patients. Pediatr Transplant. 2004 Dec;8(6):561-4. </w:t>
      </w:r>
    </w:p>
    <w:p w14:paraId="4F192B85" w14:textId="77777777" w:rsidR="00737A80" w:rsidRPr="00557981" w:rsidRDefault="00737A80" w:rsidP="00641306">
      <w:pPr>
        <w:spacing w:line="276" w:lineRule="auto"/>
        <w:contextualSpacing/>
        <w:jc w:val="both"/>
        <w:rPr>
          <w:rFonts w:eastAsia="Calibri"/>
        </w:rPr>
      </w:pPr>
      <w:r w:rsidRPr="00557981">
        <w:lastRenderedPageBreak/>
        <w:t xml:space="preserve">20. McCaffrey et al. CMV, EBV, JCV and BKV infection and outcome following kidney transplantation in children initiated on a corticosteroid-minimisation immunosuppressive regimen. Pediatr Nephrol. 2021;36(10);3229-40. </w:t>
      </w:r>
    </w:p>
    <w:p w14:paraId="13A76788" w14:textId="77777777" w:rsidR="00737A80" w:rsidRPr="00557981" w:rsidRDefault="00737A80" w:rsidP="00641306">
      <w:pPr>
        <w:spacing w:line="276" w:lineRule="auto"/>
        <w:contextualSpacing/>
        <w:jc w:val="both"/>
        <w:rPr>
          <w:rFonts w:eastAsia="Calibri"/>
        </w:rPr>
      </w:pPr>
      <w:r w:rsidRPr="00557981">
        <w:t xml:space="preserve">21. Kim I. Et al. Risk factors for the development of antibody-mediated rejection in highly sensitized pediatric kidney transplant recipients. Pediatr Transplant. 2017 Dec;21(8). </w:t>
      </w:r>
    </w:p>
    <w:p w14:paraId="183B9A8F" w14:textId="77777777" w:rsidR="00737A80" w:rsidRPr="00557981" w:rsidRDefault="00737A80" w:rsidP="00641306">
      <w:pPr>
        <w:spacing w:line="276" w:lineRule="auto"/>
        <w:contextualSpacing/>
        <w:jc w:val="both"/>
        <w:rPr>
          <w:rFonts w:eastAsia="Calibri"/>
        </w:rPr>
      </w:pPr>
      <w:r w:rsidRPr="00557981">
        <w:t>22. Foster BJ. Et al. Impact of HLA mismatch at first kidney transplant on lifetime with graft function in young recipients. Am J Transplant. 2014 Apr;14(4):876-85.</w:t>
      </w:r>
    </w:p>
    <w:p w14:paraId="41A524BC" w14:textId="77777777" w:rsidR="00737A80" w:rsidRPr="00557981" w:rsidRDefault="00737A80" w:rsidP="00641306">
      <w:pPr>
        <w:spacing w:line="276" w:lineRule="auto"/>
        <w:contextualSpacing/>
        <w:jc w:val="both"/>
        <w:rPr>
          <w:rFonts w:eastAsia="Calibri"/>
        </w:rPr>
      </w:pPr>
      <w:r w:rsidRPr="00557981">
        <w:t xml:space="preserve">23. Dudley et al. Clinical practice guidelines standardisation of immunosuppressive and anti-infective drugs regimens in UK paediatric renal </w:t>
      </w:r>
      <w:proofErr w:type="gramStart"/>
      <w:r w:rsidRPr="00557981">
        <w:t>transplantation:the</w:t>
      </w:r>
      <w:proofErr w:type="gramEnd"/>
      <w:r w:rsidRPr="00557981">
        <w:t xml:space="preserve"> harmonisation programme. BMC Nephrology Sept 2021.</w:t>
      </w:r>
    </w:p>
    <w:p w14:paraId="777F1064" w14:textId="77777777" w:rsidR="00737A80" w:rsidRPr="00557981" w:rsidRDefault="00737A80" w:rsidP="00641306">
      <w:pPr>
        <w:spacing w:line="276" w:lineRule="auto"/>
        <w:contextualSpacing/>
        <w:jc w:val="both"/>
        <w:rPr>
          <w:rFonts w:eastAsia="Calibri"/>
        </w:rPr>
      </w:pPr>
      <w:r w:rsidRPr="00557981">
        <w:t xml:space="preserve">24. Fox et al. Vaccinations in pediatric kidney transplant recipients. Pediatr Nephrol. 2019;34(4):579-91. </w:t>
      </w:r>
    </w:p>
    <w:p w14:paraId="60A4D333" w14:textId="77777777" w:rsidR="00737A80" w:rsidRPr="00557981" w:rsidRDefault="00737A80" w:rsidP="00641306">
      <w:pPr>
        <w:spacing w:line="276" w:lineRule="auto"/>
        <w:contextualSpacing/>
        <w:jc w:val="both"/>
        <w:rPr>
          <w:rFonts w:eastAsia="Calibri"/>
        </w:rPr>
      </w:pPr>
      <w:r w:rsidRPr="00557981">
        <w:t>25. Minson S. Et al. Nephrectomy for the failed renal allograft in children: predictors and outcomes. Pediatr Nephrol. 2013 Aug;28(8):1299-305.</w:t>
      </w:r>
    </w:p>
    <w:p w14:paraId="2E472392" w14:textId="77777777" w:rsidR="00737A80" w:rsidRPr="00557981" w:rsidRDefault="00737A80" w:rsidP="00641306">
      <w:pPr>
        <w:spacing w:line="276" w:lineRule="auto"/>
        <w:contextualSpacing/>
        <w:jc w:val="both"/>
        <w:rPr>
          <w:rFonts w:eastAsia="Calibri"/>
        </w:rPr>
      </w:pPr>
      <w:r w:rsidRPr="00557981">
        <w:t>26. Verghese P. Et al.  Practice patterns and influence of allograft nephrectomy in pediatric kidney re-transplantation: A pediatric nephrology research consortium study. Pediatr Transplant. 2021 Sep;25(6</w:t>
      </w:r>
      <w:proofErr w:type="gramStart"/>
      <w:r w:rsidRPr="00557981">
        <w:t>):e</w:t>
      </w:r>
      <w:proofErr w:type="gramEnd"/>
      <w:r w:rsidRPr="00557981">
        <w:t>13974.</w:t>
      </w:r>
    </w:p>
    <w:p w14:paraId="7A2C5BEC" w14:textId="77777777" w:rsidR="00737A80" w:rsidRPr="00557981" w:rsidRDefault="00737A80" w:rsidP="00641306">
      <w:pPr>
        <w:spacing w:line="276" w:lineRule="auto"/>
        <w:contextualSpacing/>
        <w:jc w:val="both"/>
        <w:rPr>
          <w:rFonts w:eastAsia="Calibri"/>
        </w:rPr>
      </w:pPr>
      <w:r w:rsidRPr="00557981">
        <w:t>27. Phillips B. Et al. Graft nephrectomy in children. Pediatr Nephrol. 2018 Jun;33(6):947-955.</w:t>
      </w:r>
    </w:p>
    <w:p w14:paraId="12CF5C4E" w14:textId="77777777" w:rsidR="00737A80" w:rsidRPr="00557981" w:rsidRDefault="00737A80" w:rsidP="00641306">
      <w:pPr>
        <w:spacing w:line="276" w:lineRule="auto"/>
        <w:contextualSpacing/>
        <w:jc w:val="both"/>
        <w:rPr>
          <w:rFonts w:eastAsia="Calibri"/>
        </w:rPr>
      </w:pPr>
      <w:r w:rsidRPr="00557981">
        <w:t>28. Verghese et al. Practice patterns and influence of allograft nephrectomy in pediatric kidney re-transplantation: A pediatric nephrology research consortium study. Pediatr Transplant. 2021;25(6</w:t>
      </w:r>
      <w:proofErr w:type="gramStart"/>
      <w:r w:rsidRPr="00557981">
        <w:t>):e</w:t>
      </w:r>
      <w:proofErr w:type="gramEnd"/>
      <w:r w:rsidRPr="00557981">
        <w:t xml:space="preserve">13974. </w:t>
      </w:r>
    </w:p>
    <w:p w14:paraId="3814E1A5" w14:textId="77777777" w:rsidR="00737A80" w:rsidRPr="00557981" w:rsidRDefault="00737A80" w:rsidP="00641306">
      <w:pPr>
        <w:spacing w:line="276" w:lineRule="auto"/>
        <w:contextualSpacing/>
        <w:jc w:val="both"/>
        <w:rPr>
          <w:rFonts w:eastAsia="Calibri"/>
        </w:rPr>
      </w:pPr>
      <w:r w:rsidRPr="00557981">
        <w:t>29. Gupta M. Et al. Repeat Kidney Transplantation After Failed First Transplant in Childhood: Past Performance Informs Future Performance. Transplantation. 2015 Aug;99(8):1700-8.</w:t>
      </w:r>
    </w:p>
    <w:p w14:paraId="14215175" w14:textId="77777777" w:rsidR="00737A80" w:rsidRPr="00557981" w:rsidRDefault="00737A80" w:rsidP="00641306">
      <w:pPr>
        <w:spacing w:line="276" w:lineRule="auto"/>
        <w:contextualSpacing/>
        <w:jc w:val="both"/>
        <w:rPr>
          <w:rFonts w:eastAsia="Calibri"/>
        </w:rPr>
      </w:pPr>
      <w:r w:rsidRPr="00557981">
        <w:t>30. Foster B. Et al. Heightened graft failure risk during emerging adulthood and transition to adult care. Pediatr Nephrol. 2015 Apr;30(4):567-76.</w:t>
      </w:r>
    </w:p>
    <w:p w14:paraId="5D3EB92A" w14:textId="77777777" w:rsidR="00737A80" w:rsidRPr="00557981" w:rsidRDefault="00737A80" w:rsidP="00641306">
      <w:pPr>
        <w:spacing w:line="276" w:lineRule="auto"/>
        <w:contextualSpacing/>
        <w:jc w:val="both"/>
      </w:pPr>
      <w:r w:rsidRPr="00557981">
        <w:t xml:space="preserve">31. Kreuzer M. Et al. Survey on Management of Transition and Transfer </w:t>
      </w:r>
      <w:proofErr w:type="gramStart"/>
      <w:r w:rsidRPr="00557981">
        <w:t>From</w:t>
      </w:r>
      <w:proofErr w:type="gramEnd"/>
      <w:r w:rsidRPr="00557981">
        <w:t xml:space="preserve"> Pediatric- to Adult-based Care in Pediatric Kidney Transplant Recipients in Europe. Transplant Direct. 2018 Jun 1;4(7</w:t>
      </w:r>
      <w:proofErr w:type="gramStart"/>
      <w:r w:rsidRPr="00557981">
        <w:t>):e</w:t>
      </w:r>
      <w:proofErr w:type="gramEnd"/>
      <w:r w:rsidRPr="00557981">
        <w:t>361.</w:t>
      </w:r>
    </w:p>
    <w:p w14:paraId="082F3FEB" w14:textId="77777777" w:rsidR="000B3FF9" w:rsidRPr="000B3FF9" w:rsidRDefault="000B3FF9" w:rsidP="000B3FF9"/>
    <w:p w14:paraId="18BAE22E" w14:textId="0DFDEB30" w:rsidR="00A51E53" w:rsidRPr="0014086F" w:rsidRDefault="00A51E53" w:rsidP="00371205">
      <w:pPr>
        <w:pStyle w:val="Heading1"/>
        <w:spacing w:before="0" w:after="160"/>
      </w:pPr>
      <w:bookmarkStart w:id="89" w:name="_Toc128329995"/>
      <w:r w:rsidRPr="0014086F">
        <w:t xml:space="preserve">6 </w:t>
      </w:r>
      <w:r w:rsidR="00371205">
        <w:tab/>
      </w:r>
      <w:r w:rsidRPr="0014086F">
        <w:t>LIFESTYLE AND THE FAILING KIDNEY TRANSPLANT</w:t>
      </w:r>
      <w:bookmarkEnd w:id="89"/>
    </w:p>
    <w:p w14:paraId="5483AB98" w14:textId="77777777" w:rsidR="00A51E53" w:rsidRDefault="00A51E53" w:rsidP="00A51E53">
      <w:pPr>
        <w:pStyle w:val="Heading2"/>
        <w:spacing w:before="0" w:after="160"/>
      </w:pPr>
      <w:bookmarkStart w:id="90" w:name="_Toc128329996"/>
      <w:r>
        <w:t>Statements of recommendation</w:t>
      </w:r>
      <w:bookmarkEnd w:id="90"/>
    </w:p>
    <w:p w14:paraId="5A5AB87D" w14:textId="77777777" w:rsidR="00A51E53" w:rsidRPr="0014086F" w:rsidRDefault="00A51E53" w:rsidP="00BC44BA">
      <w:r>
        <w:t>We recommend that:</w:t>
      </w:r>
    </w:p>
    <w:p w14:paraId="65647E2E" w14:textId="77777777" w:rsidR="00A51E53" w:rsidRPr="0014086F" w:rsidRDefault="00A51E53" w:rsidP="00346D2E">
      <w:pPr>
        <w:pStyle w:val="ListParagraph"/>
        <w:numPr>
          <w:ilvl w:val="0"/>
          <w:numId w:val="17"/>
        </w:numPr>
      </w:pPr>
      <w:r w:rsidRPr="0014086F">
        <w:t>Weight maintenance where appropriate</w:t>
      </w:r>
      <w:r>
        <w:t>,</w:t>
      </w:r>
      <w:r w:rsidRPr="0014086F">
        <w:t xml:space="preserve"> for recipients with a failing kidney transplant to minimise the risk of cardio-metabolic risk factors. (</w:t>
      </w:r>
      <w:r w:rsidRPr="0084464B">
        <w:t>1C</w:t>
      </w:r>
      <w:r w:rsidRPr="0014086F">
        <w:t>)</w:t>
      </w:r>
    </w:p>
    <w:p w14:paraId="5B49A4B1" w14:textId="77777777" w:rsidR="00A51E53" w:rsidRPr="0014086F" w:rsidRDefault="00A51E53" w:rsidP="00346D2E">
      <w:pPr>
        <w:pStyle w:val="ListParagraph"/>
        <w:numPr>
          <w:ilvl w:val="0"/>
          <w:numId w:val="17"/>
        </w:numPr>
      </w:pPr>
      <w:r w:rsidRPr="0014086F">
        <w:t>Aiming for, where appropriate, achievable weight loss post transplantation, using sustainable, personalised lifestyle changes, to reduce cardio-metabolic risk factors. (</w:t>
      </w:r>
      <w:r w:rsidRPr="0084464B">
        <w:t>1B</w:t>
      </w:r>
      <w:r w:rsidRPr="0014086F">
        <w:t>)</w:t>
      </w:r>
    </w:p>
    <w:p w14:paraId="33400F6A" w14:textId="77777777" w:rsidR="00A51E53" w:rsidRPr="0014086F" w:rsidRDefault="00A51E53" w:rsidP="00346D2E">
      <w:pPr>
        <w:pStyle w:val="ListParagraph"/>
        <w:numPr>
          <w:ilvl w:val="0"/>
          <w:numId w:val="17"/>
        </w:numPr>
      </w:pPr>
      <w:r>
        <w:t>L</w:t>
      </w:r>
      <w:r w:rsidRPr="0014086F">
        <w:t>imiting salt intake to 6g per day to help reduce blood pressure. (</w:t>
      </w:r>
      <w:r w:rsidRPr="0084464B">
        <w:t>1A</w:t>
      </w:r>
      <w:r w:rsidRPr="0014086F">
        <w:t>)</w:t>
      </w:r>
    </w:p>
    <w:p w14:paraId="3B9C2BAD" w14:textId="77777777" w:rsidR="00A51E53" w:rsidRPr="0014086F" w:rsidRDefault="00A51E53" w:rsidP="00346D2E">
      <w:pPr>
        <w:pStyle w:val="ListParagraph"/>
        <w:numPr>
          <w:ilvl w:val="0"/>
          <w:numId w:val="17"/>
        </w:numPr>
      </w:pPr>
      <w:r>
        <w:t>L</w:t>
      </w:r>
      <w:r w:rsidRPr="0014086F">
        <w:t xml:space="preserve">ifestyle interventions </w:t>
      </w:r>
      <w:r>
        <w:t xml:space="preserve">to </w:t>
      </w:r>
      <w:r w:rsidRPr="0014086F">
        <w:t>be embedded with behaviour change technique(s) or behavioural therapies such as Cognitive Behavioural Therapy which have an underlying evidence-based theory for recipients with a failing kidney transplant</w:t>
      </w:r>
      <w:r>
        <w:t>. These</w:t>
      </w:r>
      <w:r w:rsidRPr="0014086F">
        <w:t xml:space="preserve"> must be reinforced continuously or periodically.  (</w:t>
      </w:r>
      <w:r w:rsidRPr="0084464B">
        <w:t>1B</w:t>
      </w:r>
      <w:r w:rsidRPr="0014086F">
        <w:t>)</w:t>
      </w:r>
    </w:p>
    <w:p w14:paraId="71446157" w14:textId="693CA3D1" w:rsidR="00A51E53" w:rsidRDefault="00A51E53" w:rsidP="00BC44BA">
      <w:r>
        <w:t>We suggest</w:t>
      </w:r>
      <w:r w:rsidR="00737A80">
        <w:t xml:space="preserve"> that</w:t>
      </w:r>
      <w:r>
        <w:t>:</w:t>
      </w:r>
    </w:p>
    <w:p w14:paraId="67572A1C" w14:textId="77777777" w:rsidR="00A51E53" w:rsidRPr="0014086F" w:rsidRDefault="00A51E53" w:rsidP="00346D2E">
      <w:pPr>
        <w:pStyle w:val="ListParagraph"/>
        <w:numPr>
          <w:ilvl w:val="0"/>
          <w:numId w:val="18"/>
        </w:numPr>
      </w:pPr>
      <w:r w:rsidRPr="0014086F">
        <w:lastRenderedPageBreak/>
        <w:t>Dietary patterns that reflect principles of plant-based diets to reduce cardio-metabolic risk factors. (</w:t>
      </w:r>
      <w:r w:rsidRPr="0084464B">
        <w:t>1C</w:t>
      </w:r>
      <w:r w:rsidRPr="0014086F">
        <w:t>)</w:t>
      </w:r>
    </w:p>
    <w:p w14:paraId="15F75668" w14:textId="3DC0D3C6" w:rsidR="00A51E53" w:rsidRDefault="00A51E53" w:rsidP="00BC44BA">
      <w:r>
        <w:t>Research recommendations</w:t>
      </w:r>
      <w:r w:rsidR="00217066">
        <w:t>:</w:t>
      </w:r>
    </w:p>
    <w:p w14:paraId="4CBA8C47" w14:textId="77777777" w:rsidR="00A51E53" w:rsidRPr="0014086F" w:rsidRDefault="00A51E53" w:rsidP="00217066">
      <w:pPr>
        <w:spacing w:line="276" w:lineRule="auto"/>
        <w:jc w:val="both"/>
      </w:pPr>
      <w:r w:rsidRPr="0014086F">
        <w:rPr>
          <w:rFonts w:cstheme="minorHAnsi"/>
        </w:rPr>
        <w:t>No specific targeted studies have been conducted in the failing kidney transplant setting. F</w:t>
      </w:r>
      <w:r w:rsidRPr="0014086F">
        <w:t>urther research is warranted regarding lifestyle interventions for failing kidney transplant recipients.</w:t>
      </w:r>
      <w:r w:rsidRPr="00292D93">
        <w:t xml:space="preserve"> </w:t>
      </w:r>
    </w:p>
    <w:p w14:paraId="2BA457FC" w14:textId="486A3D60" w:rsidR="00A51E53" w:rsidRPr="00217066" w:rsidRDefault="00A51E53" w:rsidP="00BC44BA">
      <w:r w:rsidRPr="00217066">
        <w:t>Questions for evidence review</w:t>
      </w:r>
      <w:r w:rsidR="00217066" w:rsidRPr="00217066">
        <w:t>:</w:t>
      </w:r>
    </w:p>
    <w:p w14:paraId="5AD0305E" w14:textId="77777777" w:rsidR="00A51E53" w:rsidRDefault="00A51E53" w:rsidP="00346D2E">
      <w:pPr>
        <w:pStyle w:val="ListParagraph"/>
        <w:numPr>
          <w:ilvl w:val="0"/>
          <w:numId w:val="16"/>
        </w:numPr>
      </w:pPr>
      <w:r>
        <w:t xml:space="preserve">What degree of weight loss (if any) is recommended in adults who are overweight or obese, with a failing kidney transplant in relation to reducing cardio-metabolic risk factors and relisting for transplantation? </w:t>
      </w:r>
    </w:p>
    <w:p w14:paraId="7FDC6D79" w14:textId="77777777" w:rsidR="00A51E53" w:rsidRDefault="00A51E53" w:rsidP="00346D2E">
      <w:pPr>
        <w:pStyle w:val="ListParagraph"/>
        <w:numPr>
          <w:ilvl w:val="0"/>
          <w:numId w:val="16"/>
        </w:numPr>
      </w:pPr>
      <w:r>
        <w:t>What dietary patterns are associated with cardiovascular risk improvement (</w:t>
      </w:r>
      <w:proofErr w:type="gramStart"/>
      <w:r>
        <w:t>e.g.</w:t>
      </w:r>
      <w:proofErr w:type="gramEnd"/>
      <w:r>
        <w:t xml:space="preserve"> Dietary Approaches to Stop Hypertension (DASH); Mediterranean eating patterns) in adults with a failing kidney transplant in relation to reducing cardio-metabolic risk factors? </w:t>
      </w:r>
    </w:p>
    <w:p w14:paraId="4660A74E" w14:textId="77777777" w:rsidR="00A51E53" w:rsidRDefault="00A51E53" w:rsidP="00346D2E">
      <w:pPr>
        <w:pStyle w:val="ListParagraph"/>
        <w:numPr>
          <w:ilvl w:val="0"/>
          <w:numId w:val="16"/>
        </w:numPr>
      </w:pPr>
      <w:r>
        <w:t xml:space="preserve">What behaviour change techniques/therapies can be used by healthcare professionals and kidney transplant recipients to support making meaningful changes to lifestyle for improved health outcomes?  </w:t>
      </w:r>
    </w:p>
    <w:p w14:paraId="04FF27FE" w14:textId="1397CEF5" w:rsidR="00A51E53" w:rsidRDefault="00A51E53" w:rsidP="00A51E53">
      <w:pPr>
        <w:pStyle w:val="Heading2"/>
        <w:spacing w:before="0" w:after="160"/>
      </w:pPr>
      <w:bookmarkStart w:id="91" w:name="_Toc128329997"/>
      <w:r>
        <w:t>Rationale</w:t>
      </w:r>
      <w:bookmarkEnd w:id="91"/>
    </w:p>
    <w:p w14:paraId="4BADE7C8" w14:textId="77777777" w:rsidR="00A51E53" w:rsidRPr="000F61D9" w:rsidRDefault="00A51E53" w:rsidP="00A51E53">
      <w:pPr>
        <w:pStyle w:val="Heading3"/>
        <w:spacing w:before="0" w:after="160"/>
      </w:pPr>
      <w:bookmarkStart w:id="92" w:name="_Toc128329998"/>
      <w:r>
        <w:t xml:space="preserve">6.1 </w:t>
      </w:r>
      <w:r w:rsidRPr="000F61D9">
        <w:t>Introduction</w:t>
      </w:r>
      <w:bookmarkEnd w:id="92"/>
    </w:p>
    <w:p w14:paraId="69A1B972" w14:textId="77777777" w:rsidR="00A51E53" w:rsidRDefault="00A51E53" w:rsidP="008D4BDF">
      <w:pPr>
        <w:spacing w:line="276" w:lineRule="auto"/>
        <w:jc w:val="both"/>
        <w:rPr>
          <w:rFonts w:cstheme="minorHAnsi"/>
          <w:color w:val="212121"/>
          <w:shd w:val="clear" w:color="auto" w:fill="FFFFFF"/>
        </w:rPr>
      </w:pPr>
      <w:r>
        <w:rPr>
          <w:rFonts w:cstheme="minorHAnsi"/>
          <w:color w:val="212121"/>
          <w:shd w:val="clear" w:color="auto" w:fill="FFFFFF"/>
        </w:rPr>
        <w:t xml:space="preserve">“A healthy lifestyle is a way of living that lowers the risk of being seriously ill or dying early” </w:t>
      </w:r>
      <w:r>
        <w:rPr>
          <w:rFonts w:cstheme="minorHAnsi"/>
          <w:color w:val="212121"/>
          <w:shd w:val="clear" w:color="auto" w:fill="FFFFFF"/>
        </w:rPr>
        <w:fldChar w:fldCharType="begin" w:fldLock="1"/>
      </w:r>
      <w:r>
        <w:rPr>
          <w:rFonts w:cstheme="minorHAnsi"/>
          <w:color w:val="212121"/>
          <w:shd w:val="clear" w:color="auto" w:fill="FFFFFF"/>
        </w:rPr>
        <w:instrText>ADDIN CSL_CITATION {"citationItems":[{"id":"ITEM-1","itemData":{"author":[{"dropping-particle":"","family":"WHO","given":"","non-dropping-particle":"","parse-names":false,"suffix":""}],"id":"ITEM-1","issued":{"date-parts":[["1998"]]},"title":"Healthy Living - what is a healthy lifestyle","type":"report"},"uris":["http://www.mendeley.com/documents/?uuid=8bf92c26-fa6a-485c-b0a2-b80219bfa20d"]}],"mendeley":{"formattedCitation":"&lt;sup&gt;1&lt;/sup&gt;","plainTextFormattedCitation":"1","previouslyFormattedCitation":"&lt;sup&gt;1&lt;/sup&gt;"},"properties":{"noteIndex":0},"schema":"https://github.com/citation-style-language/schema/raw/master/csl-citation.json"}</w:instrText>
      </w:r>
      <w:r>
        <w:rPr>
          <w:rFonts w:cstheme="minorHAnsi"/>
          <w:color w:val="212121"/>
          <w:shd w:val="clear" w:color="auto" w:fill="FFFFFF"/>
        </w:rPr>
        <w:fldChar w:fldCharType="separate"/>
      </w:r>
      <w:r w:rsidRPr="00D37D4E">
        <w:rPr>
          <w:rFonts w:cstheme="minorHAnsi"/>
          <w:noProof/>
          <w:color w:val="212121"/>
          <w:shd w:val="clear" w:color="auto" w:fill="FFFFFF"/>
          <w:vertAlign w:val="superscript"/>
        </w:rPr>
        <w:t>1</w:t>
      </w:r>
      <w:r>
        <w:rPr>
          <w:rFonts w:cstheme="minorHAnsi"/>
          <w:color w:val="212121"/>
          <w:shd w:val="clear" w:color="auto" w:fill="FFFFFF"/>
        </w:rPr>
        <w:fldChar w:fldCharType="end"/>
      </w:r>
      <w:r>
        <w:rPr>
          <w:rFonts w:cstheme="minorHAnsi"/>
          <w:color w:val="212121"/>
          <w:shd w:val="clear" w:color="auto" w:fill="FFFFFF"/>
        </w:rPr>
        <w:t xml:space="preserve">.  The term “lifestyle” usually encompasses the following aspects (amongst others): diet, exercise, smoking and alcohol.  Lifestyle is the result of choices that individuals make, for example, their food choices. Choices are in turn influenced by an individual’s cultural, socioeconomic and political environment </w:t>
      </w:r>
      <w:r>
        <w:fldChar w:fldCharType="begin" w:fldLock="1"/>
      </w:r>
      <w:r>
        <w:instrText>ADDIN CSL_CITATION {"citationItems":[{"id":"ITEM-1","itemData":{"DOI":"10.1111/j.1753-4887.2001.tb06983.x","ISSN":"00296643","PMID":"11330630","author":[{"dropping-particle":"","family":"Booth","given":"S. L.","non-dropping-particle":"","parse-names":false,"suffix":""},{"dropping-particle":"","family":"Sallis","given":"J. F.","non-dropping-particle":"","parse-names":false,"suffix":""},{"dropping-particle":"","family":"Ritenbaugh","given":"C.","non-dropping-particle":"","parse-names":false,"suffix":""},{"dropping-particle":"","family":"Hill","given":"J. O.","non-dropping-particle":"","parse-names":false,"suffix":""},{"dropping-particle":"","family":"Birch","given":"L. L.","non-dropping-particle":"","parse-names":false,"suffix":""},{"dropping-particle":"","family":"Frank","given":"L. D.","non-dropping-particle":"","parse-names":false,"suffix":""},{"dropping-particle":"","family":"Glanz","given":"K.","non-dropping-particle":"","parse-names":false,"suffix":""},{"dropping-particle":"","family":"Himmelgreen","given":"D. A.","non-dropping-particle":"","parse-names":false,"suffix":""},{"dropping-particle":"","family":"Mudd","given":"M.","non-dropping-particle":"","parse-names":false,"suffix":""},{"dropping-particle":"","family":"Popkin","given":"B. M.","non-dropping-particle":"","parse-names":false,"suffix":""},{"dropping-particle":"","family":"Rickard","given":"K. A.","non-dropping-particle":"","parse-names":false,"suffix":""},{"dropping-particle":"","family":"Jeor","given":"S.","non-dropping-particle":"St.","parse-names":false,"suffix":""},{"dropping-particle":"","family":"Hays","given":"N. P.","non-dropping-particle":"","parse-names":false,"suffix":""}],"container-title":"Nutrition Reviews","id":"ITEM-1","issue":"3 II","issued":{"date-parts":[["2001"]]},"page":"S21-S36","title":"Environmental and societal factors affect food choice and physical activity: Rationale, influences, and leverage points","type":"article-journal","volume":"59"},"uris":["http://www.mendeley.com/documents/?uuid=4a5fa900-8e83-4ca4-b7ec-3d26a5fdf320"]}],"mendeley":{"formattedCitation":"&lt;sup&gt;2&lt;/sup&gt;","plainTextFormattedCitation":"2","previouslyFormattedCitation":"&lt;sup&gt;2&lt;/sup&gt;"},"properties":{"noteIndex":0},"schema":"https://github.com/citation-style-language/schema/raw/master/csl-citation.json"}</w:instrText>
      </w:r>
      <w:r>
        <w:fldChar w:fldCharType="separate"/>
      </w:r>
      <w:r w:rsidRPr="00D37D4E">
        <w:rPr>
          <w:noProof/>
          <w:vertAlign w:val="superscript"/>
        </w:rPr>
        <w:t>2</w:t>
      </w:r>
      <w:r>
        <w:fldChar w:fldCharType="end"/>
      </w:r>
      <w:r>
        <w:rPr>
          <w:rFonts w:cstheme="minorHAnsi"/>
          <w:color w:val="212121"/>
          <w:shd w:val="clear" w:color="auto" w:fill="FFFFFF"/>
        </w:rPr>
        <w:t xml:space="preserve">. Therefore, lifestyle </w:t>
      </w:r>
      <w:r>
        <w:t xml:space="preserve">influences post-transplant health and underpins optimisation of post-transplant health. </w:t>
      </w:r>
      <w:r>
        <w:rPr>
          <w:rFonts w:cstheme="minorHAnsi"/>
          <w:color w:val="212121"/>
          <w:shd w:val="clear" w:color="auto" w:fill="FFFFFF"/>
        </w:rPr>
        <w:t xml:space="preserve"> </w:t>
      </w:r>
    </w:p>
    <w:p w14:paraId="7C5449CA" w14:textId="77777777" w:rsidR="00A51E53" w:rsidRDefault="00A51E53" w:rsidP="008D4BDF">
      <w:pPr>
        <w:spacing w:line="276" w:lineRule="auto"/>
        <w:jc w:val="both"/>
        <w:rPr>
          <w:rFonts w:cstheme="minorHAnsi"/>
          <w:color w:val="212121"/>
          <w:shd w:val="clear" w:color="auto" w:fill="FFFFFF"/>
        </w:rPr>
      </w:pPr>
      <w:r>
        <w:rPr>
          <w:rFonts w:cstheme="minorHAnsi"/>
          <w:color w:val="212121"/>
          <w:shd w:val="clear" w:color="auto" w:fill="FFFFFF"/>
        </w:rPr>
        <w:t>Benefits of a healthy lifestyle:</w:t>
      </w:r>
    </w:p>
    <w:p w14:paraId="489FC27E" w14:textId="77777777" w:rsidR="00A51E53" w:rsidRDefault="00A51E53" w:rsidP="00346D2E">
      <w:pPr>
        <w:pStyle w:val="ListParagraph"/>
        <w:numPr>
          <w:ilvl w:val="0"/>
          <w:numId w:val="15"/>
        </w:numPr>
      </w:pPr>
      <w:r>
        <w:t>Minimise post-transplantation cardio-metabolic risks of:</w:t>
      </w:r>
    </w:p>
    <w:p w14:paraId="33F53C35" w14:textId="77777777" w:rsidR="00A51E53" w:rsidRDefault="00A51E53" w:rsidP="00346D2E">
      <w:pPr>
        <w:pStyle w:val="ListParagraph"/>
        <w:numPr>
          <w:ilvl w:val="1"/>
          <w:numId w:val="15"/>
        </w:numPr>
      </w:pPr>
      <w:r>
        <w:t xml:space="preserve">Unintentional weight gain </w:t>
      </w:r>
    </w:p>
    <w:p w14:paraId="62138E53" w14:textId="77777777" w:rsidR="00A51E53" w:rsidRDefault="00A51E53" w:rsidP="00346D2E">
      <w:pPr>
        <w:pStyle w:val="ListParagraph"/>
        <w:numPr>
          <w:ilvl w:val="1"/>
          <w:numId w:val="15"/>
        </w:numPr>
      </w:pPr>
      <w:r>
        <w:t>Post-Transplantation Diabetes Mellitus</w:t>
      </w:r>
    </w:p>
    <w:p w14:paraId="2347F486" w14:textId="77777777" w:rsidR="00A51E53" w:rsidRDefault="00A51E53" w:rsidP="00346D2E">
      <w:pPr>
        <w:pStyle w:val="ListParagraph"/>
        <w:numPr>
          <w:ilvl w:val="1"/>
          <w:numId w:val="15"/>
        </w:numPr>
      </w:pPr>
      <w:r>
        <w:t>Hypertension</w:t>
      </w:r>
    </w:p>
    <w:p w14:paraId="1A7C8183" w14:textId="77777777" w:rsidR="00A51E53" w:rsidRDefault="00A51E53" w:rsidP="00346D2E">
      <w:pPr>
        <w:pStyle w:val="ListParagraph"/>
        <w:numPr>
          <w:ilvl w:val="1"/>
          <w:numId w:val="15"/>
        </w:numPr>
      </w:pPr>
      <w:r>
        <w:t>Dyslipidaemia</w:t>
      </w:r>
    </w:p>
    <w:p w14:paraId="35814759" w14:textId="77777777" w:rsidR="00A51E53" w:rsidRDefault="00A51E53" w:rsidP="00346D2E">
      <w:pPr>
        <w:pStyle w:val="ListParagraph"/>
        <w:numPr>
          <w:ilvl w:val="1"/>
          <w:numId w:val="15"/>
        </w:numPr>
      </w:pPr>
      <w:r>
        <w:t>Major adverse cardiovascular events</w:t>
      </w:r>
    </w:p>
    <w:p w14:paraId="3B9AE31F" w14:textId="77777777" w:rsidR="00A51E53" w:rsidRDefault="00A51E53" w:rsidP="00346D2E">
      <w:pPr>
        <w:pStyle w:val="ListParagraph"/>
        <w:numPr>
          <w:ilvl w:val="0"/>
          <w:numId w:val="15"/>
        </w:numPr>
      </w:pPr>
      <w:r>
        <w:t>Improve wellbeing (quality of life and mental health)</w:t>
      </w:r>
    </w:p>
    <w:p w14:paraId="4007E22C" w14:textId="43CFF748" w:rsidR="00A51E53" w:rsidRDefault="00A51E53" w:rsidP="00346D2E">
      <w:pPr>
        <w:pStyle w:val="ListParagraph"/>
        <w:numPr>
          <w:ilvl w:val="0"/>
          <w:numId w:val="15"/>
        </w:numPr>
      </w:pPr>
      <w:r>
        <w:t xml:space="preserve">Improve </w:t>
      </w:r>
      <w:r w:rsidR="00C74C99">
        <w:t xml:space="preserve">the opportunity for </w:t>
      </w:r>
      <w:r>
        <w:t xml:space="preserve">re-transplantation </w:t>
      </w:r>
    </w:p>
    <w:p w14:paraId="097C7786" w14:textId="77777777" w:rsidR="00A51E53" w:rsidRPr="00394987" w:rsidRDefault="00A51E53" w:rsidP="008D4BDF">
      <w:pPr>
        <w:spacing w:line="276" w:lineRule="auto"/>
        <w:jc w:val="both"/>
        <w:rPr>
          <w:rFonts w:cstheme="minorHAnsi"/>
          <w:color w:val="212121"/>
          <w:shd w:val="clear" w:color="auto" w:fill="FFFFFF"/>
        </w:rPr>
      </w:pPr>
      <w:r>
        <w:rPr>
          <w:rFonts w:cstheme="minorHAnsi"/>
          <w:color w:val="212121"/>
          <w:shd w:val="clear" w:color="auto" w:fill="FFFFFF"/>
        </w:rPr>
        <w:t>In this guideline, we consider the</w:t>
      </w:r>
      <w:r w:rsidRPr="008C6902">
        <w:rPr>
          <w:rFonts w:cstheme="minorHAnsi"/>
          <w:color w:val="212121"/>
          <w:shd w:val="clear" w:color="auto" w:fill="FFFFFF"/>
        </w:rPr>
        <w:t xml:space="preserve"> </w:t>
      </w:r>
      <w:r>
        <w:rPr>
          <w:rFonts w:cstheme="minorHAnsi"/>
          <w:color w:val="212121"/>
          <w:shd w:val="clear" w:color="auto" w:fill="FFFFFF"/>
        </w:rPr>
        <w:t xml:space="preserve">randomised controlled trial </w:t>
      </w:r>
      <w:r w:rsidRPr="008C6902">
        <w:rPr>
          <w:rFonts w:cstheme="minorHAnsi"/>
          <w:color w:val="212121"/>
          <w:shd w:val="clear" w:color="auto" w:fill="FFFFFF"/>
        </w:rPr>
        <w:t>lifestyle intervention</w:t>
      </w:r>
      <w:r>
        <w:rPr>
          <w:rFonts w:cstheme="minorHAnsi"/>
          <w:color w:val="212121"/>
          <w:shd w:val="clear" w:color="auto" w:fill="FFFFFF"/>
        </w:rPr>
        <w:t>s as well as observational cohort study evidence in adult kidney +/- pancreas transplant recipients</w:t>
      </w:r>
      <w:r w:rsidRPr="008C6902">
        <w:rPr>
          <w:rFonts w:cstheme="minorHAnsi"/>
          <w:color w:val="212121"/>
          <w:shd w:val="clear" w:color="auto" w:fill="FFFFFF"/>
        </w:rPr>
        <w:t xml:space="preserve"> </w:t>
      </w:r>
      <w:r>
        <w:rPr>
          <w:rFonts w:cstheme="minorHAnsi"/>
          <w:color w:val="212121"/>
          <w:shd w:val="clear" w:color="auto" w:fill="FFFFFF"/>
        </w:rPr>
        <w:t>that can lead to</w:t>
      </w:r>
      <w:r w:rsidRPr="008C6902">
        <w:rPr>
          <w:rFonts w:cstheme="minorHAnsi"/>
          <w:color w:val="212121"/>
          <w:shd w:val="clear" w:color="auto" w:fill="FFFFFF"/>
        </w:rPr>
        <w:t xml:space="preserve"> improvement </w:t>
      </w:r>
      <w:r>
        <w:rPr>
          <w:rFonts w:cstheme="minorHAnsi"/>
          <w:color w:val="212121"/>
          <w:shd w:val="clear" w:color="auto" w:fill="FFFFFF"/>
        </w:rPr>
        <w:t>in cardiometabolic risk factors</w:t>
      </w:r>
      <w:r w:rsidRPr="008C6902">
        <w:rPr>
          <w:rFonts w:cstheme="minorHAnsi"/>
          <w:color w:val="212121"/>
          <w:shd w:val="clear" w:color="auto" w:fill="FFFFFF"/>
        </w:rPr>
        <w:t xml:space="preserve"> </w:t>
      </w:r>
      <w:r>
        <w:rPr>
          <w:rFonts w:cstheme="minorHAnsi"/>
          <w:color w:val="212121"/>
          <w:shd w:val="clear" w:color="auto" w:fill="FFFFFF"/>
        </w:rPr>
        <w:t xml:space="preserve">after transplantation. Lifestyle interventions involving participants with a failing kidney transplant are non-existent, so these guidelines draw on the available evidence in renal transplantation more widely.  However, declining eGFR is independently associated with cardiovascular disease risk and therefore lifestyle advice is pertinent to this population </w:t>
      </w:r>
      <w:r>
        <w:rPr>
          <w:rFonts w:cstheme="minorHAnsi"/>
          <w:color w:val="212121"/>
          <w:shd w:val="clear" w:color="auto" w:fill="FFFFFF"/>
        </w:rPr>
        <w:fldChar w:fldCharType="begin" w:fldLock="1"/>
      </w:r>
      <w:r>
        <w:rPr>
          <w:rFonts w:cstheme="minorHAnsi"/>
          <w:color w:val="212121"/>
          <w:shd w:val="clear" w:color="auto" w:fill="FFFFFF"/>
        </w:rPr>
        <w:instrText>ADDIN CSL_CITATION {"citationItems":[{"id":"ITEM-1","itemData":{"DOI":"10.1016/S0140-6736(10)60674-5","ISSN":"01406736","PMID":"20483451","abstract":"Background: Substantial controversy surrounds the use of estimated glomerular filtration rate (eGFR) and albuminuria to define chronic kidney disease and assign its stages. We undertook a meta-analysis to assess the independent and combined associations of eGFR and albuminuria with mortality. Methods: In this collaborative meta-analysis of general population cohorts, we pooled standardised data for all-cause and cardiovascular mortality from studies containing at least 1000 participants and baseline information about eGFR and urine albumin concentrations. Cox proportional hazards models were used to estimate hazard ratios (HRs) for all-cause and cardiovascular mortality associated with eGFR and albuminuria, adjusted for potential confounders. Findings: The analysis included 105 872 participants (730 577 person-years) from 14 studies with urine albumin-to-creatinine ratio (ACR) measurements and 1 128 310 participants (4 732 110 person-years) from seven studies with urine protein dipstick measurements. In studies with ACR measurements, risk of mortality was unrelated to eGFR between 75 mL/min/1·73 m2 and 105 mL/min/1·73 m2 and increased at lower eGFRs. Compared with eGFR 95 mL/min/1·73 m2, adjusted HRs for all-cause mortality were 1·18 (95% CI 1·05-1·32) for eGFR 60 mL/min/1·73 m2, 1·57 (1·39-1·78) for 45 mL/min/1·73 m2, and 3·14 (2·39-4·13) for 15 mL/min/1·73 m2. ACR was associated with risk of mortality linearly on the log-log scale without threshold effects. Compared with ACR 0·6 mg/mmol, adjusted HRs for all-cause mortality were 1·20 (1·15-1·26) for ACR 1·1 mg/mmol, 1·63 (1·50-1·77) for 3·4 mg/mmol, and 2·22 (1·97-2·51) for 33·9 mg/mmol. eGFR and ACR were multiplicatively associated with risk of mortality without evidence of interaction. Similar findings were recorded for cardiovascular mortality and in studies with dipstick measurements. Interpretation: eGFR less than 60 mL/min/1·73 m2 and ACR 1·1 mg/mmol (10 mg/g) or more are independent predictors of mortality risk in the general population. This study provides quantitative data for use of both kidney measures for risk assessment and definition and staging of chronic kidney disease. Funding: Kidney Disease: Improving Global Outcomes (KDIGO), US National Kidney Foundation, and Dutch Kidney Foundation. © 2010 Elsevier Ltd. All rights reserved.","author":[{"dropping-particle":"","family":"Matsushita","given":"Kunihiro","non-dropping-particle":"","parse-names":false,"suffix":""},{"dropping-particle":"","family":"Velde","given":"Marije","non-dropping-particle":"van der","parse-names":false,"suffix":""},{"dropping-particle":"","family":"Astor","given":"Brad C.","non-dropping-particle":"","parse-names":false,"suffix":""},{"dropping-particle":"","family":"Woodward","given":"Mark","non-dropping-particle":"","parse-names":false,"suffix":""},{"dropping-particle":"","family":"Levey","given":"Andrew S.","non-dropping-particle":"","parse-names":false,"suffix":""},{"dropping-particle":"","family":"Jong","given":"Paul E.","non-dropping-particle":"de","parse-names":false,"suffix":""},{"dropping-particle":"","family":"Coresh","given":"Josef","non-dropping-particle":"","parse-names":false,"suffix":""},{"dropping-particle":"","family":"Gansevoort","given":"Ron T.","non-dropping-particle":"","parse-names":false,"suffix":""},{"dropping-particle":"","family":"El-Nahas","given":"Meguid","non-dropping-particle":"","parse-names":false,"suffix":""},{"dropping-particle":"","family":"Eckardt","given":"Kai Uwe","non-dropping-particle":"","parse-names":false,"suffix":""},{"dropping-particle":"","family":"Kasiske","given":"Bertram L.","non-dropping-particle":"","parse-names":false,"suffix":""},{"dropping-particle":"","family":"Tonelli","given":"Marcello","non-dropping-particle":"","parse-names":false,"suffix":""},{"dropping-particle":"","family":"Hemmelgarn","given":"Brenda","non-dropping-particle":"","parse-names":false,"suffix":""},{"dropping-particle":"","family":"Wang","given":"Yaping","non-dropping-particle":"","parse-names":false,"suffix":""},{"dropping-particle":"","family":"Atkins","given":"Robert C.","non-dropping-particle":"","parse-names":false,"suffix":""},{"dropping-particle":"","family":"Polkinghorne","given":"Kevan R.","non-dropping-particle":"","parse-names":false,"suffix":""},{"dropping-particle":"","family":"Chadban","given":"Steven J.","non-dropping-particle":"","parse-names":false,"suffix":""},{"dropping-particle":"","family":"Shankar","given":"Anoop","non-dropping-particle":"","parse-names":false,"suffix":""},{"dropping-particle":"","family":"Klein","given":"Ronald","non-dropping-particle":"","parse-names":false,"suffix":""},{"dropping-particle":"","family":"Klein","given":"Barbara E.K.","non-dropping-particle":"","parse-names":false,"suffix":""},{"dropping-particle":"","family":"Wang","given":"Haiyan","non-dropping-particle":"","parse-names":false,"suffix":""},{"dropping-particle":"","family":"Wang","given":"Fang","non-dropping-particle":"","parse-names":false,"suffix":""},{"dropping-particle":"","family":"Zhang","given":"Luxia","non-dropping-particle":"","parse-names":false,"suffix":""},{"dropping-particle":"","family":"Liu","given":"Lisheng","non-dropping-particle":"","parse-names":false,"suffix":""},{"dropping-particle":"","family":"Shlipak","given":"Michael","non-dropping-particle":"","parse-names":false,"suffix":""},{"dropping-particle":"","family":"Sarnak","given":"Mark J.","non-dropping-particle":"","parse-names":false,"suffix":""},{"dropping-particle":"","family":"Katz","given":"Ronit","non-dropping-particle":"","parse-names":false,"suffix":""},{"dropping-particle":"","family":"Fried","given":"Linda P.","non-dropping-particle":"","parse-names":false,"suffix":""},{"dropping-particle":"","family":"Jafar","given":"Tazeen","non-dropping-particle":"","parse-names":false,"suffix":""},{"dropping-particle":"","family":"Islam","given":"Muhammad","non-dropping-particle":"","parse-names":false,"suffix":""},{"dropping-particle":"","family":"Hatcher","given":"Juanita","non-dropping-particle":"","parse-names":false,"suffix":""},{"dropping-particle":"","family":"Poulter","given":"Neil","non-dropping-particle":"","parse-names":false,"suffix":""},{"dropping-particle":"","family":"Chaturvedi","given":"Nish","non-dropping-particle":"","parse-names":false,"suffix":""},{"dropping-particle":"","family":"Rothenbacher","given":"Dietrich","non-dropping-particle":"","parse-names":false,"suffix":""},{"dropping-particle":"","family":"Brenner","given":"Hermann","non-dropping-particle":"","parse-names":false,"suffix":""},{"dropping-particle":"","family":"Raum","given":"Elke","non-dropping-particle":"","parse-names":false,"suffix":""},{"dropping-particle":"","family":"Koenig","given":"Wolfgang","non-dropping-particle":"","parse-names":false,"suffix":""},{"dropping-particle":"","family":"Fox","given":"Caroline S.","non-dropping-particle":"","parse-names":false,"suffix":""},{"dropping-particle":"","family":"Hwang","given":"Shih Jen","non-dropping-particle":"","parse-names":false,"suffix":""},{"dropping-particle":"","family":"Meigs","given":"James B.","non-dropping-particle":"","parse-names":false,"suffix":""},{"dropping-particle":"","family":"Cirillo","given":"Massimo","non-dropping-particle":"","parse-names":false,"suffix":""},{"dropping-particle":"","family":"Hallan","given":"Stein","non-dropping-particle":"","parse-names":false,"suffix":""},{"dropping-particle":"","family":"Lydersen","given":"Stian","non-dropping-particle":"","parse-names":false,"suffix":""},{"dropping-particle":"","family":"Holmen","given":"Jostein","non-dropping-particle":"","parse-names":false,"suffix":""},{"dropping-particle":"","family":"Shlipak","given":"Michael","non-dropping-particle":"","parse-names":false,"suffix":""},{"dropping-particle":"","family":"Sarnak","given":"Mark J.","non-dropping-particle":"","parse-names":false,"suffix":""},{"dropping-particle":"","family":"Katz","given":"Ronit","non-dropping-particle":"","parse-names":false,"suffix":""},{"dropping-particle":"","family":"Fried","given":"Linda P.","non-dropping-particle":"","parse-names":false,"suffix":""},{"dropping-particle":"","family":"Roderick","given":"Paul","non-dropping-particle":"","parse-names":false,"suffix":""},{"dropping-particle":"","family":"Nitsch","given":"Dorothea","non-dropping-particle":"","parse-names":false,"suffix":""},{"dropping-particle":"","family":"Fletcher","given":"Astrid","non-dropping-particle":"","parse-names":false,"suffix":""},{"dropping-particle":"","family":"Bulpitt","given":"Christopher","non-dropping-particle":"","parse-names":false,"suffix":""},{"dropping-particle":"","family":"Ohkubo","given":"Takayoshi","non-dropping-particle":"","parse-names":false,"suffix":""},{"dropping-particle":"","family":"Metoki","given":"Hirohito","non-dropping-particle":"","parse-names":false,"suffix":""},{"dropping-particle":"","family":"Nakayama","given":"Masaaki","non-dropping-particle":"","parse-names":false,"suffix":""},{"dropping-particle":"","family":"Kikuya","given":"Masahiro","non-dropping-particle":"","parse-names":false,"suffix":""},{"dropping-particle":"","family":"Imai","given":"Yutaka","non-dropping-particle":"","parse-names":false,"suffix":""},{"dropping-particle":"","family":"Jassal","given":"Simerjot Kaur","non-dropping-particle":"","parse-names":false,"suffix":""},{"dropping-particle":"","family":"Barrett-Connor","given":"Elizabeth","non-dropping-particle":"","parse-names":false,"suffix":""},{"dropping-particle":"","family":"Bergstrom","given":"Jaclyn","non-dropping-particle":"","parse-names":false,"suffix":""},{"dropping-particle":"","family":"Warnock","given":"David G.","non-dropping-particle":"","parse-names":false,"suffix":""},{"dropping-particle":"","family":"Muntner","given":"Paul","non-dropping-particle":"","parse-names":false,"suffix":""},{"dropping-particle":"","family":"Judd","given":"Suzanne","non-dropping-particle":"","parse-names":false,"suffix":""},{"dropping-particle":"","family":"McClellan","given":"William M.","non-dropping-particle":"","parse-names":false,"suffix":""},{"dropping-particle":"","family":"Cushman","given":"Mary","non-dropping-particle":"","parse-names":false,"suffix":""},{"dropping-particle":"","family":"Howard","given":"George","non-dropping-particle":"","parse-names":false,"suffix":""},{"dropping-particle":"","family":"McClure","given":"Leslie A.","non-dropping-particle":"","parse-names":false,"suffix":""},{"dropping-particle":"","family":"Jee","given":"Sun Ha","non-dropping-particle":"","parse-names":false,"suffix":""},{"dropping-particle":"","family":"Kimm","given":"Heejin","non-dropping-particle":"","parse-names":false,"suffix":""},{"dropping-particle":"","family":"Yun","given":"Ji Eun","non-dropping-particle":"","parse-names":false,"suffix":""},{"dropping-particle":"","family":"Wen","given":"Chi Pang","non-dropping-particle":"","parse-names":false,"suffix":""},{"dropping-particle":"","family":"Wen","given":"Sung Feng","non-dropping-particle":"","parse-names":false,"suffix":""},{"dropping-particle":"","family":"Tsao","given":"Chwen Keng","non-dropping-particle":"","parse-names":false,"suffix":""},{"dropping-particle":"","family":"Tsai","given":"Min Kuang","non-dropping-particle":"","parse-names":false,"suffix":""},{"dropping-particle":"","family":"Ärnlöv","given":"Johan","non-dropping-particle":"","parse-names":false,"suffix":""},{"dropping-particle":"","family":"Auguste","given":"Priscilla","non-dropping-particle":"","parse-names":false,"suffix":""},{"dropping-particle":"","family":"Veldhuis","given":"Kasper","non-dropping-particle":"","parse-names":false,"suffix":""},{"dropping-particle":"","family":"Camarata","given":"Laura","non-dropping-particle":"","parse-names":false,"suffix":""},{"dropping-particle":"","family":"Thomas","given":"Beverly","non-dropping-particle":"","parse-names":false,"suffix":""},{"dropping-particle":"","family":"Manley","given":"Tom","non-dropping-particle":"","parse-names":false,"suffix":""}],"container-title":"The Lancet","id":"ITEM-1","issue":"9731","issued":{"date-parts":[["2010"]]},"page":"2073-2081","publisher":"Elsevier Ltd","title":"Association of estimated glomerular filtration rate and albuminuria with all-cause and cardiovascular mortality in general population cohorts: a collaborative meta-analysis","type":"article-journal","volume":"375"},"uris":["http://www.mendeley.com/documents/?uuid=006fcaf5-20db-4719-a45e-85b1d87f7722"]}],"mendeley":{"formattedCitation":"&lt;sup&gt;3&lt;/sup&gt;","plainTextFormattedCitation":"3","previouslyFormattedCitation":"&lt;sup&gt;3&lt;/sup&gt;"},"properties":{"noteIndex":0},"schema":"https://github.com/citation-style-language/schema/raw/master/csl-citation.json"}</w:instrText>
      </w:r>
      <w:r>
        <w:rPr>
          <w:rFonts w:cstheme="minorHAnsi"/>
          <w:color w:val="212121"/>
          <w:shd w:val="clear" w:color="auto" w:fill="FFFFFF"/>
        </w:rPr>
        <w:fldChar w:fldCharType="separate"/>
      </w:r>
      <w:r w:rsidRPr="00D37D4E">
        <w:rPr>
          <w:rFonts w:cstheme="minorHAnsi"/>
          <w:noProof/>
          <w:color w:val="212121"/>
          <w:shd w:val="clear" w:color="auto" w:fill="FFFFFF"/>
          <w:vertAlign w:val="superscript"/>
        </w:rPr>
        <w:t>3</w:t>
      </w:r>
      <w:r>
        <w:rPr>
          <w:rFonts w:cstheme="minorHAnsi"/>
          <w:color w:val="212121"/>
          <w:shd w:val="clear" w:color="auto" w:fill="FFFFFF"/>
        </w:rPr>
        <w:fldChar w:fldCharType="end"/>
      </w:r>
      <w:r>
        <w:rPr>
          <w:rFonts w:cstheme="minorHAnsi"/>
          <w:color w:val="212121"/>
          <w:shd w:val="clear" w:color="auto" w:fill="FFFFFF"/>
        </w:rPr>
        <w:t xml:space="preserve">.  Lifestyle changes regarding weight loss and cardio-metabolic disease modifications can be relevant to maintaining suitability for re-listing for a transplant.   </w:t>
      </w:r>
    </w:p>
    <w:p w14:paraId="0701F260" w14:textId="77777777" w:rsidR="00A51E53" w:rsidRDefault="00A51E53" w:rsidP="008D4BDF">
      <w:pPr>
        <w:spacing w:line="276" w:lineRule="auto"/>
        <w:jc w:val="both"/>
      </w:pPr>
      <w:r>
        <w:lastRenderedPageBreak/>
        <w:t xml:space="preserve">The factors that will be explored in further detail in these guidelines are dietary patterns, weight management and their impact on wellbeing and cardio-metabolic health.  Exercise, smoking and alcohol consumption have been covered in detail in the “Exercise and lifestyle in chronic kidney disease” clinical practice guideline published by the UK Kidney Association </w:t>
      </w:r>
      <w:r>
        <w:fldChar w:fldCharType="begin" w:fldLock="1"/>
      </w:r>
      <w:r>
        <w:instrText>ADDIN CSL_CITATION {"citationItems":[{"id":"ITEM-1","itemData":{"author":[{"dropping-particle":"","family":"Association","given":"The Renal","non-dropping-particle":"","parse-names":false,"suffix":""}],"id":"ITEM-1","issue":"April","issued":{"date-parts":[["2021"]]},"number-of-pages":"1-92","title":"Renal Association Clinical Practice Guidelines - Exercise and Lifestyle in Chronic Kidney Disease","type":"report"},"uris":["http://www.mendeley.com/documents/?uuid=b7819661-4be9-4ea4-a45a-31af30db552a"]}],"mendeley":{"formattedCitation":"&lt;sup&gt;4&lt;/sup&gt;","plainTextFormattedCitation":"4","previouslyFormattedCitation":"&lt;sup&gt;4&lt;/sup&gt;"},"properties":{"noteIndex":0},"schema":"https://github.com/citation-style-language/schema/raw/master/csl-citation.json"}</w:instrText>
      </w:r>
      <w:r>
        <w:fldChar w:fldCharType="separate"/>
      </w:r>
      <w:r w:rsidRPr="00D37D4E">
        <w:rPr>
          <w:noProof/>
          <w:vertAlign w:val="superscript"/>
        </w:rPr>
        <w:t>4</w:t>
      </w:r>
      <w:r>
        <w:fldChar w:fldCharType="end"/>
      </w:r>
      <w:r>
        <w:t xml:space="preserve"> and therefore will not be covered in this guideline.   </w:t>
      </w:r>
    </w:p>
    <w:p w14:paraId="70BC042B" w14:textId="77777777" w:rsidR="00A51E53" w:rsidRDefault="00A51E53" w:rsidP="00A51E53">
      <w:pPr>
        <w:pStyle w:val="Heading3"/>
        <w:spacing w:before="0" w:after="160"/>
        <w:rPr>
          <w:u w:val="single"/>
        </w:rPr>
      </w:pPr>
      <w:bookmarkStart w:id="93" w:name="_Toc128329999"/>
      <w:r>
        <w:t>6.2 W</w:t>
      </w:r>
      <w:r w:rsidRPr="000C6E46">
        <w:t>eight maintenance where appropriate</w:t>
      </w:r>
      <w:r>
        <w:t>,</w:t>
      </w:r>
      <w:r w:rsidRPr="000C6E46">
        <w:t xml:space="preserve"> for recipients with a failing kidney</w:t>
      </w:r>
      <w:bookmarkEnd w:id="93"/>
      <w:r w:rsidRPr="000C6E46">
        <w:t xml:space="preserve"> </w:t>
      </w:r>
    </w:p>
    <w:p w14:paraId="77F8E7C5" w14:textId="77777777" w:rsidR="00A51E53" w:rsidRDefault="00A51E53" w:rsidP="008D4BDF">
      <w:pPr>
        <w:spacing w:line="276" w:lineRule="auto"/>
        <w:jc w:val="both"/>
      </w:pPr>
      <w:r>
        <w:t xml:space="preserve">Cardiovascular disease is the primary cause of death after a kidney transplant </w:t>
      </w:r>
      <w:r>
        <w:fldChar w:fldCharType="begin" w:fldLock="1"/>
      </w:r>
      <w:r>
        <w:instrText>ADDIN CSL_CITATION {"citationItems":[{"id":"ITEM-1","itemData":{"DOI":"10.1681/ASN.2020050566","ISSN":"15333450","PMID":"32908001","abstract":"Background Mortality risk after kidney transplantation can vary significantly during the post-transplant course. A contemporary assessment of trends in all-cause and cause-specific mortality at different periods post-transplant is required to better inform patients, clinicians, researchers, and policy makers. Methods We included all first kidney-only transplant recipients from 1980 through 2018 from the Australia and New Zealand Dialysis and Transplant Registry. We compared adjusted death rates per 5-year intervals, using a piecewise exponential survival model, stratified by time post-transplant or time post–graft failure. Results Of 23,210 recipients, 4765 died with a functioning graft. Risk of death declined over successive eras, at all periods post-transplant. Reductions in early deaths were most marked; however, recipients $10 years post-transplant were 20% less likely to die in the current era compared with preceding eras (2015–2018 versus 2005–2009, adjusted hazard ratio, 0.80; 95% confidence interval, 0.69 to 0.90). In 2015–2018, cardiovascular disease was the most common cause of death, particularly in months 0–3 post-transplant (1.18 per 100 patient-years). Cancer deaths were rare early post-transplant, but frequent at later time points (0.93 per 100 patient-years $10 years post-transplant). Among 3657 patients with first graft loss, 2472 died and were not retransplanted. Death was common in the first year after graft failure, and the cause was most commonly cardiovascular (50%). Conclusions Reductions in death early and late post-transplant over the past 40 years represent a major achievement. Reductions in cause-specific mortality at all time points post-transplant are also apparent. However, relatively greater reductions in cardiovascular death have increased the prominence of late cancer deaths.","author":[{"dropping-particle":"","family":"Ying","given":"Tracey","non-dropping-particle":"","parse-names":false,"suffix":""},{"dropping-particle":"","family":"Shi","given":"Bree","non-dropping-particle":"","parse-names":false,"suffix":""},{"dropping-particle":"","family":"Kelly","given":"Patrick J.","non-dropping-particle":"","parse-names":false,"suffix":""},{"dropping-particle":"","family":"Pilmore","given":"Helen","non-dropping-particle":"","parse-names":false,"suffix":""},{"dropping-particle":"","family":"Clayton","given":"Philip A.","non-dropping-particle":"","parse-names":false,"suffix":""},{"dropping-particle":"","family":"Chadban","given":"Steven J.","non-dropping-particle":"","parse-names":false,"suffix":""}],"container-title":"Journal of the American Society of Nephrology","id":"ITEM-1","issue":"12","issued":{"date-parts":[["2020"]]},"page":"2887-2899","title":"Death after kidney transplantation: An analysis by era and time post-transplant","type":"article-journal","volume":"31"},"uris":["http://www.mendeley.com/documents/?uuid=f171adc2-0c06-4779-acee-4756d298f64a"]}],"mendeley":{"formattedCitation":"&lt;sup&gt;5&lt;/sup&gt;","plainTextFormattedCitation":"5","previouslyFormattedCitation":"&lt;sup&gt;5&lt;/sup&gt;"},"properties":{"noteIndex":0},"schema":"https://github.com/citation-style-language/schema/raw/master/csl-citation.json"}</w:instrText>
      </w:r>
      <w:r>
        <w:fldChar w:fldCharType="separate"/>
      </w:r>
      <w:r w:rsidRPr="00D37D4E">
        <w:rPr>
          <w:noProof/>
          <w:vertAlign w:val="superscript"/>
        </w:rPr>
        <w:t>5</w:t>
      </w:r>
      <w:r>
        <w:fldChar w:fldCharType="end"/>
      </w:r>
      <w:r>
        <w:t xml:space="preserve"> therefore minimising cardiovascular risk factors is important.  Hypertension post kidney transplantation is common ranging from 50-80% </w:t>
      </w:r>
      <w:r>
        <w:fldChar w:fldCharType="begin" w:fldLock="1"/>
      </w:r>
      <w:r>
        <w:instrText>ADDIN CSL_CITATION {"citationItems":[{"id":"ITEM-1","itemData":{"DOI":"10.1681/ASN.2014080834","ISSN":"15333450","PMID":"25653099","abstract":"Hypertension in renal transplant recipients is common and ranges from 50% to 80% in adult recipients and from 47% to 82% in pediatric recipients. Cardiovascular morbidity and mortality and shortened allograft survival are important consequences of inadequate control of hypertension. In this review, we examine the epidemiology, pathophysiology, and management considerations of post-transplant hypertension. Donor and recipient factors, acute and chronic allograft injury, and immunosuppressive medications may each explain some of the pathophysiology of post-transplant hypertension. As observed in other patient cohorts, renal artery stenosis and adrenal causes of hypertension may be important contributing factors. Notably, BP treatment goals for renal transplant recipients remain an enigma because there are no adequate randomized controlled trials to support a benefit from targeting lower BP levels on graft and patient survival. The potential for drug-drug interactions and altered pharmacokinetics and pharmacodynamics of the different antihypertensive medications need to be carefully considered. To date, no specific antihypertensive medications have been shown to be more effective than others at improving either patient or graft survival. Identifying the underlying pathophysiology and subsequent individualization of treatment goals are important for improving long-term patient and graft outcomes in these patients.","author":[{"dropping-particle":"","family":"Weir","given":"Matthew R.","non-dropping-particle":"","parse-names":false,"suffix":""},{"dropping-particle":"","family":"Burgess","given":"Ellen D.","non-dropping-particle":"","parse-names":false,"suffix":""},{"dropping-particle":"","family":"Cooper","given":"James E.","non-dropping-particle":"","parse-names":false,"suffix":""},{"dropping-particle":"","family":"Fenves","given":"Andrew Z.","non-dropping-particle":"","parse-names":false,"suffix":""},{"dropping-particle":"","family":"Goldsmith","given":"David","non-dropping-particle":"","parse-names":false,"suffix":""},{"dropping-particle":"","family":"McKay","given":"Dianne","non-dropping-particle":"","parse-names":false,"suffix":""},{"dropping-particle":"","family":"Mehrotra","given":"Anita","non-dropping-particle":"","parse-names":false,"suffix":""},{"dropping-particle":"","family":"Mitsnefes","given":"Mark M.","non-dropping-particle":"","parse-names":false,"suffix":""},{"dropping-particle":"","family":"Sica","given":"Domenic A.","non-dropping-particle":"","parse-names":false,"suffix":""},{"dropping-particle":"","family":"Taler","given":"Sandra J.","non-dropping-particle":"","parse-names":false,"suffix":""}],"container-title":"Journal of the American Society of Nephrology","id":"ITEM-1","issue":"6","issued":{"date-parts":[["2015"]]},"page":"1248-1260","title":"Assessment and management of hypertension in transplant patients","type":"article-journal","volume":"26"},"uris":["http://www.mendeley.com/documents/?uuid=7e34f2b8-eb79-4b67-a5f2-5e5233d3ca71"]}],"mendeley":{"formattedCitation":"&lt;sup&gt;6&lt;/sup&gt;","plainTextFormattedCitation":"6","previouslyFormattedCitation":"&lt;sup&gt;6&lt;/sup&gt;"},"properties":{"noteIndex":0},"schema":"https://github.com/citation-style-language/schema/raw/master/csl-citation.json"}</w:instrText>
      </w:r>
      <w:r>
        <w:fldChar w:fldCharType="separate"/>
      </w:r>
      <w:r w:rsidRPr="00D37D4E">
        <w:rPr>
          <w:noProof/>
          <w:vertAlign w:val="superscript"/>
        </w:rPr>
        <w:t>6</w:t>
      </w:r>
      <w:r>
        <w:fldChar w:fldCharType="end"/>
      </w:r>
      <w:r>
        <w:t xml:space="preserve">. A higher weight post-transplant is associated with a higher prevalence of hypertension </w:t>
      </w:r>
      <w:r>
        <w:fldChar w:fldCharType="begin" w:fldLock="1"/>
      </w:r>
      <w:r>
        <w:instrText>ADDIN CSL_CITATION {"citationItems":[{"id":"ITEM-1","itemData":{"DOI":"10.1186/s12916-015-0340-5","ISBN":"1291601503","ISSN":"17417015","PMID":"25963131","abstract":"Background: Whether overweight or obese end stage renal disease (ESRD) patients are suitable for renal transplantation (RT) is often debated. The objective of this review and meta-analysis was to systematically investigate the outcome of low versus high BMI recipients after RT. Methods: Comprehensive searches were conducted in MEDLINE OvidSP, Web of Science, Google Scholar, Embase, and CENTRAL (the Cochrane Library 2014, issue 8). We reviewed four major guidelines that are available regarding (potential) RT recipients. The methodology was in accordance with the Cochrane Handbook for Systematic Reviews of Interventions and written based on the PRISMA statement. The quality assessment of studies was performed by using the GRADE tool. A meta-analysis was performed using Review Manager 5.3. Random-effects models were used. Results: After identifying 5,526 studies addressing this topic, 56 studies were included. We extracted data for 37 outcome measures (including data of more than 209,000 RT recipients), of which 26 could be meta-analysed. The following outcome measures demonstrated significant differences in favour of low BMI (&lt;30) recipients: mortality (RR = 1.52), delayed graft function (RR = 1.52), acute rejection (RR = 1.17), 1-, 2-, and 3-year graft survival (RR = 0.97, 0.95, and 0.97), 1-, 2-, and 3-year patient survival (RR = 0.99, 0.99, and 0.99), wound infection and dehiscence (RR = 3.13 and 4.85), NODAT (RR = 2.24), length of hospital stay (2.31 days), operation duration (0.77 hours), hypertension (RR = 1.35), and incisional hernia (RR = 2.72). However, patient survival expressed in hazard ratios was in significant favour of high BMI recipients. Differences in other outcome parameters were not significant. Conclusions: Several of the pooled outcome measurements show significant benefits for 'low' BMI (&lt;30) recipients. Therefore, we postulate that ESRD patients with a BMI &gt;30 preferably should lose weight prior to RT. If this cannot be achieved with common measures, in morbidly obese RT candidates, bariatric surgery could be considered.","author":[{"dropping-particle":"","family":"Lafranca","given":"Jeffrey A.","non-dropping-particle":"","parse-names":false,"suffix":""},{"dropping-particle":"","family":"IJermans","given":"Jan N.M.","non-dropping-particle":"","parse-names":false,"suffix":""},{"dropping-particle":"","family":"Betjes","given":"Michiel G.H.","non-dropping-particle":"","parse-names":false,"suffix":""},{"dropping-particle":"","family":"Dor","given":"Frank J.M.F.","non-dropping-particle":"","parse-names":false,"suffix":""}],"container-title":"BMC Medicine","id":"ITEM-1","issue":"1","issued":{"date-parts":[["2015"]]},"page":"1-18","title":"Body mass index and outcome in renal transplant recipients: A systematic review and meta-analysis","type":"article-journal","volume":"13"},"uris":["http://www.mendeley.com/documents/?uuid=35c406e7-66d8-4bff-905b-555b521d485d"]}],"mendeley":{"formattedCitation":"&lt;sup&gt;7&lt;/sup&gt;","plainTextFormattedCitation":"7","previouslyFormattedCitation":"&lt;sup&gt;7&lt;/sup&gt;"},"properties":{"noteIndex":0},"schema":"https://github.com/citation-style-language/schema/raw/master/csl-citation.json"}</w:instrText>
      </w:r>
      <w:r>
        <w:fldChar w:fldCharType="separate"/>
      </w:r>
      <w:r w:rsidRPr="00D37D4E">
        <w:rPr>
          <w:noProof/>
          <w:vertAlign w:val="superscript"/>
        </w:rPr>
        <w:t>7</w:t>
      </w:r>
      <w:r>
        <w:fldChar w:fldCharType="end"/>
      </w:r>
      <w:r>
        <w:t xml:space="preserve">, as well as a greater incidence of post-transplant diabetes mellitus (PTDM) </w:t>
      </w:r>
      <w:r>
        <w:fldChar w:fldCharType="begin" w:fldLock="1"/>
      </w:r>
      <w:r>
        <w:instrText>ADDIN CSL_CITATION {"citationItems":[{"id":"ITEM-1","itemData":{"DOI":"10.1186/s12916-015-0340-5","ISBN":"1291601503","ISSN":"17417015","PMID":"25963131","abstract":"Background: Whether overweight or obese end stage renal disease (ESRD) patients are suitable for renal transplantation (RT) is often debated. The objective of this review and meta-analysis was to systematically investigate the outcome of low versus high BMI recipients after RT. Methods: Comprehensive searches were conducted in MEDLINE OvidSP, Web of Science, Google Scholar, Embase, and CENTRAL (the Cochrane Library 2014, issue 8). We reviewed four major guidelines that are available regarding (potential) RT recipients. The methodology was in accordance with the Cochrane Handbook for Systematic Reviews of Interventions and written based on the PRISMA statement. The quality assessment of studies was performed by using the GRADE tool. A meta-analysis was performed using Review Manager 5.3. Random-effects models were used. Results: After identifying 5,526 studies addressing this topic, 56 studies were included. We extracted data for 37 outcome measures (including data of more than 209,000 RT recipients), of which 26 could be meta-analysed. The following outcome measures demonstrated significant differences in favour of low BMI (&lt;30) recipients: mortality (RR = 1.52), delayed graft function (RR = 1.52), acute rejection (RR = 1.17), 1-, 2-, and 3-year graft survival (RR = 0.97, 0.95, and 0.97), 1-, 2-, and 3-year patient survival (RR = 0.99, 0.99, and 0.99), wound infection and dehiscence (RR = 3.13 and 4.85), NODAT (RR = 2.24), length of hospital stay (2.31 days), operation duration (0.77 hours), hypertension (RR = 1.35), and incisional hernia (RR = 2.72). However, patient survival expressed in hazard ratios was in significant favour of high BMI recipients. Differences in other outcome parameters were not significant. Conclusions: Several of the pooled outcome measurements show significant benefits for 'low' BMI (&lt;30) recipients. Therefore, we postulate that ESRD patients with a BMI &gt;30 preferably should lose weight prior to RT. If this cannot be achieved with common measures, in morbidly obese RT candidates, bariatric surgery could be considered.","author":[{"dropping-particle":"","family":"Lafranca","given":"Jeffrey A.","non-dropping-particle":"","parse-names":false,"suffix":""},{"dropping-particle":"","family":"IJermans","given":"Jan N.M.","non-dropping-particle":"","parse-names":false,"suffix":""},{"dropping-particle":"","family":"Betjes","given":"Michiel G.H.","non-dropping-particle":"","parse-names":false,"suffix":""},{"dropping-particle":"","family":"Dor","given":"Frank J.M.F.","non-dropping-particle":"","parse-names":false,"suffix":""}],"container-title":"BMC Medicine","id":"ITEM-1","issue":"1","issued":{"date-parts":[["2015"]]},"page":"1-18","title":"Body mass index and outcome in renal transplant recipients: A systematic review and meta-analysis","type":"article-journal","volume":"13"},"uris":["http://www.mendeley.com/documents/?uuid=35c406e7-66d8-4bff-905b-555b521d485d"]},{"id":"ITEM-2","itemData":{"DOI":"10.1016/S2213-8587(15)00387-3","ISSN":"22138595","PMID":"26632096","abstract":"With increasing success in overcoming the immunological and infectious challenges accompanying solid organ transplantation, susceptibility to post-transplant diabetes and cardiovascular disease has assumed increasing importance. Although some guidance is available from diabetes-related literature pertaining to the general population, some aspects are unique to solid organ allograft recipients. Both insulin resistance and β-cell dysfunction are generally agreed to contribute to development and manifestation of post-transplant diabetes, but controversy continues about which is most important and to what extent post-transplant diabetes is a distinct entity or simply a variant of type 2 diabetes with transplant-specific components. The optimum method and timing for detection and diagnosis of post-transplant diabetes remains an area of uncertainty. However, the greatest needs are to: address the absence of contemporary data for incidence and clinical outcomes associated with post-transplant diabetes; establish the role of glycaemic control; and assess the role of new diabetic therapies in prevention and management of post-transplant diabetes. We place the present knowledge base in the context of other advances in transplantation, challenge some existing ideas, and examine the potential role of emerging diabetes therapies. In highlighting existing deficiencies, we hope to provide direction for future research that will ultimately reduce incidence and improve management of post-transplant diabetes.","author":[{"dropping-particle":"","family":"Sharif","given":"Adnan","non-dropping-particle":"","parse-names":false,"suffix":""},{"dropping-particle":"","family":"Cohney","given":"Solomon","non-dropping-particle":"","parse-names":false,"suffix":""}],"container-title":"The Lancet Diabetes and Endocrinology","id":"ITEM-2","issue":"4","issued":{"date-parts":[["2016"]]},"page":"337-349","title":"Post-transplantation diabetes-state of the art","type":"article-journal","volume":"4"},"uris":["http://www.mendeley.com/documents/?uuid=45f513d2-1093-4807-995e-c361d28956dc"]}],"mendeley":{"formattedCitation":"&lt;sup&gt;7,8&lt;/sup&gt;","plainTextFormattedCitation":"7,8","previouslyFormattedCitation":"&lt;sup&gt;7,8&lt;/sup&gt;"},"properties":{"noteIndex":0},"schema":"https://github.com/citation-style-language/schema/raw/master/csl-citation.json"}</w:instrText>
      </w:r>
      <w:r>
        <w:fldChar w:fldCharType="separate"/>
      </w:r>
      <w:r w:rsidRPr="00D37D4E">
        <w:rPr>
          <w:noProof/>
          <w:vertAlign w:val="superscript"/>
        </w:rPr>
        <w:t>7,8</w:t>
      </w:r>
      <w:r>
        <w:fldChar w:fldCharType="end"/>
      </w:r>
      <w:r>
        <w:t xml:space="preserve">. Therefore, weight maintenance post-transplant may result in significant benefits.  </w:t>
      </w:r>
    </w:p>
    <w:p w14:paraId="22E05E0A" w14:textId="77777777" w:rsidR="00A51E53" w:rsidRDefault="00A51E53" w:rsidP="008D4BDF">
      <w:pPr>
        <w:spacing w:line="276" w:lineRule="auto"/>
        <w:jc w:val="both"/>
        <w:rPr>
          <w:rFonts w:cstheme="minorHAnsi"/>
          <w:color w:val="212121"/>
          <w:shd w:val="clear" w:color="auto" w:fill="FFFFFF"/>
        </w:rPr>
      </w:pPr>
      <w:r w:rsidRPr="00C7487E">
        <w:t>Weight gain after kidney transplant</w:t>
      </w:r>
      <w:r>
        <w:t>ation</w:t>
      </w:r>
      <w:r w:rsidRPr="00C7487E">
        <w:t xml:space="preserve"> is </w:t>
      </w:r>
      <w:r>
        <w:t>common</w:t>
      </w:r>
      <w:r w:rsidRPr="00C7487E">
        <w:t xml:space="preserve"> and often associated with lipid abnormalities and increased fasting plasma glucose. </w:t>
      </w:r>
      <w:r>
        <w:t>The risk</w:t>
      </w:r>
      <w:r>
        <w:rPr>
          <w:rFonts w:cstheme="minorHAnsi"/>
          <w:color w:val="212121"/>
          <w:shd w:val="clear" w:color="auto" w:fill="FFFFFF"/>
        </w:rPr>
        <w:t xml:space="preserve"> of obesity increases post kidney transplantation by 34% </w:t>
      </w:r>
      <w:r>
        <w:rPr>
          <w:rFonts w:cstheme="minorHAnsi"/>
          <w:color w:val="212121"/>
          <w:shd w:val="clear" w:color="auto" w:fill="FFFFFF"/>
        </w:rPr>
        <w:fldChar w:fldCharType="begin" w:fldLock="1"/>
      </w:r>
      <w:r>
        <w:rPr>
          <w:rFonts w:cstheme="minorHAnsi"/>
          <w:color w:val="212121"/>
          <w:shd w:val="clear" w:color="auto" w:fill="FFFFFF"/>
        </w:rPr>
        <w:instrText>ADDIN CSL_CITATION {"citationItems":[{"id":"ITEM-1","itemData":{"DOI":"10.3389/FPSYT.2020.00399/BIBTEX","ISSN":"16640640","abstract":"Objective: There is solid evidence that kidney transplant (KTx) patients are susceptible to weight gain after transplantation. Post-transplantation obesity [body mass index (BMI) ≥ 30 kg/m2] seems to be associated with higher risks of hypertension, dyslipidemia, diabetes mellitus, and cardiovascular events, while there are contradicting findings regarding the association between obesity and mortality, graft failure after transplantation as well as other variables. We aimed to evaluate the course of weight after KTx and to assess the prevalence of post-transplant obesity in a large sample of German KTx patients. Further, we focused on potential associations between weight gain, obesity, and BMI after transplantation with sociodemographic, medical, psychological [levels of anxiety and depression measured with the Hospital Anxiety and Depression Scale (HADS)], and donation-specific variables. Methods: In a structured post-transplant care program 433 KTx patients were evaluated at Hannover Medical School. Information on the pre-transplant body weight/dry weight of dialysis patients was taken from the electronic patient charts. At post-transplant assessment body weight was measured in the transplant center. For statistical analyses, descriptive statistics, analyses of variance, tests for correlations, and regression analyses were used. Results: Mean age was 51.3 years, 59% were male and 26.3% had ≥12 years of school attendance. Regarding somatic conditions 6.0% were suffering from type 2 diabetes mellitus, 6.9% were affected by new-onset diabetes after transplantation (NODAT), and the mean estimated glomerular filtration rate (eGFR) was 47.7 ml/min/1.73m2. The prevalence rates of obesity before and after kidney transplantation were 14.8 and 19.9%, respectively. This represents an increase of 34%. Obesity after transplantation was associated with higher rates of type 2 diabetes mellitus and of NODAT. Additionally, there was an association between increasing pre-transplant as well as post-transplant BMI and decreasing eGFR. Higher age and female sex were associated with higher rates of post-transplant obesity. Conclusions: Our results suggest that obesity represents a serious problem in KTx patients, especially regarding the association between increasing BMI and decreasing graft functioning (eGFR). However, this aspect is often overlooked and information on effective treatment options for these patients are scarce making further research on this topic necessary.","author":[{"dropping-particle":"","family":"Nöhre","given":"Mariel","non-dropping-particle":"","parse-names":false,"suffix":""},{"dropping-particle":"","family":"Schieffer","given":"Elisabeth","non-dropping-particle":"","parse-names":false,"suffix":""},{"dropping-particle":"","family":"Hanke","given":"Alexander","non-dropping-particle":"","parse-names":false,"suffix":""},{"dropping-particle":"","family":"Pape","given":"Lars","non-dropping-particle":"","parse-names":false,"suffix":""},{"dropping-particle":"","family":"Schiffer","given":"Lena","non-dropping-particle":"","parse-names":false,"suffix":""},{"dropping-particle":"","family":"Schiffer","given":"Mario","non-dropping-particle":"","parse-names":false,"suffix":""},{"dropping-particle":"","family":"Zwaan","given":"Martina","non-dropping-particle":"de","parse-names":false,"suffix":""}],"container-title":"Frontiers in Psychiatry","id":"ITEM-1","issued":{"date-parts":[["2020","5","8"]]},"page":"399","publisher":"Frontiers Media S.A.","title":"Obesity After Kidney Transplantation—Results of a KTx360°Substudy","type":"article-journal","volume":"11"},"uris":["http://www.mendeley.com/documents/?uuid=83560c79-ad09-3ee9-856d-58763490f164"]}],"mendeley":{"formattedCitation":"&lt;sup&gt;9&lt;/sup&gt;","plainTextFormattedCitation":"9","previouslyFormattedCitation":"&lt;sup&gt;9&lt;/sup&gt;"},"properties":{"noteIndex":0},"schema":"https://github.com/citation-style-language/schema/raw/master/csl-citation.json"}</w:instrText>
      </w:r>
      <w:r>
        <w:rPr>
          <w:rFonts w:cstheme="minorHAnsi"/>
          <w:color w:val="212121"/>
          <w:shd w:val="clear" w:color="auto" w:fill="FFFFFF"/>
        </w:rPr>
        <w:fldChar w:fldCharType="separate"/>
      </w:r>
      <w:r w:rsidRPr="00D37D4E">
        <w:rPr>
          <w:rFonts w:cstheme="minorHAnsi"/>
          <w:noProof/>
          <w:color w:val="212121"/>
          <w:shd w:val="clear" w:color="auto" w:fill="FFFFFF"/>
          <w:vertAlign w:val="superscript"/>
        </w:rPr>
        <w:t>9</w:t>
      </w:r>
      <w:r>
        <w:rPr>
          <w:rFonts w:cstheme="minorHAnsi"/>
          <w:color w:val="212121"/>
          <w:shd w:val="clear" w:color="auto" w:fill="FFFFFF"/>
        </w:rPr>
        <w:fldChar w:fldCharType="end"/>
      </w:r>
      <w:r>
        <w:rPr>
          <w:rFonts w:cstheme="minorHAnsi"/>
          <w:color w:val="212121"/>
          <w:shd w:val="clear" w:color="auto" w:fill="FFFFFF"/>
        </w:rPr>
        <w:t xml:space="preserve">, which is associated with higher rates of PTDM, and contributes to higher mortality </w:t>
      </w:r>
      <w:r>
        <w:rPr>
          <w:rFonts w:cstheme="minorHAnsi"/>
          <w:color w:val="212121"/>
          <w:shd w:val="clear" w:color="auto" w:fill="FFFFFF"/>
        </w:rPr>
        <w:fldChar w:fldCharType="begin" w:fldLock="1"/>
      </w:r>
      <w:r>
        <w:rPr>
          <w:rFonts w:cstheme="minorHAnsi"/>
          <w:color w:val="212121"/>
          <w:shd w:val="clear" w:color="auto" w:fill="FFFFFF"/>
        </w:rPr>
        <w:instrText>ADDIN CSL_CITATION {"citationItems":[{"id":"ITEM-1","itemData":{"DOI":"10.1159/000437277","ISSN":"1664-3828","PMID":"27194995","abstract":"&lt;b&gt;&lt;i&gt;Background:&lt;/i&gt;&lt;/b&gt; Previous studies have not shown a consistent link between body mass index (BMI) and outcomes such as mortality and kidney disease progression in non-dialysis-dependent chronic kidney disease (CKD) patients. Therefore, we aimed to complete a systematic review and meta-analysis study on this subject. &lt;b&gt;&lt;i&gt;Methods:&lt;/i&gt;&lt;/b&gt; We searched MEDLINE, EMBASE, Web of Science, Cumulative Index to Nursing and Allied Health Literature (CINAHL), and Cochrane Central Register of Controlled Trials (CENTRAL), and screened 7,123 retrieved studies for inclusion. Two investigators independently selected the studies using predefined criteria and assessed each study's quality using the Newcastle-Ottawa quality assessment scale. We meta-analyzed the results based on the BMI classification system by the WHO. &lt;b&gt;&lt;i&gt;Results:&lt;/i&gt;&lt;/b&gt; We included 10 studies (with a total sample size of 484,906) in the systematic review and 4 studies in the meta-analyses. The study results were generally heterogeneous. However, following reanalysis of the largest reported study and our meta-analyses, we observed that in stage 3-5 CKD, being underweight was associated with a higher risk of death while being overweight or obese class I was associated with a lower risk of death; however, obesity classes II and III were not associated with risk of death. In addition, reanalysis of the largest available study showed that a higher BMI was associated with an incrementally higher risk of kidney disease progression; however, this association was attenuated in our pooled results. For earlier stages of CKD, we could not complete meta-analyses as the studies were sparse and had heterogeneous BMI classifications and/or referent BMI groups. &lt;b&gt;&lt;i&gt;Conclusion:&lt;/i&gt;&lt;/b&gt; Among the group of patients with stage 3-5 CKD, we found a differential association between obesity classes I-III and mortality compared to the general population, indicating an obesity paradox in the CKD population.","author":[{"dropping-particle":"","family":"Ahmadi","given":"Seyed Foad","non-dropping-particle":"","parse-names":false,"suffix":""},{"dropping-particle":"","family":"Zahmatkesh","given":"Golara","non-dropping-particle":"","parse-names":false,"suffix":""},{"dropping-particle":"","family":"Ahmadi","given":"Emad","non-dropping-particle":"","parse-names":false,"suffix":""},{"dropping-particle":"","family":"Streja","given":"Elani","non-dropping-particle":"","parse-names":false,"suffix":""},{"dropping-particle":"","family":"Rhee","given":"Connie M.","non-dropping-particle":"","parse-names":false,"suffix":""},{"dropping-particle":"","family":"Gillen","given":"Daniel L.","non-dropping-particle":"","parse-names":false,"suffix":""},{"dropping-particle":"","family":"Nicola","given":"Luca","non-dropping-particle":"De","parse-names":false,"suffix":""},{"dropping-particle":"","family":"Minutolo","given":"Roberto","non-dropping-particle":"","parse-names":false,"suffix":""},{"dropping-particle":"","family":"Ricardo","given":"Ana C.","non-dropping-particle":"","parse-names":false,"suffix":""},{"dropping-particle":"","family":"Kovesdy","given":"Csaba P.","non-dropping-particle":"","parse-names":false,"suffix":""},{"dropping-particle":"","family":"Kalantar-Zadeh","given":"Kamyar","non-dropping-particle":"","parse-names":false,"suffix":""}],"container-title":"Cardiorenal Medicine","id":"ITEM-1","issue":"1","issued":{"date-parts":[["2016","12","1"]]},"page":"37-49","publisher":"Karger Publishers","title":"Association of Body Mass Index with Clinical Outcomes in Non-Dialysis-Dependent Chronic Kidney Disease: A Systematic Review and Meta-Analysis","type":"article-journal","volume":"6"},"uris":["http://www.mendeley.com/documents/?uuid=eb2d3a72-af68-3672-ac06-1be7f735fe2c"]}],"mendeley":{"formattedCitation":"&lt;sup&gt;10&lt;/sup&gt;","plainTextFormattedCitation":"10","previouslyFormattedCitation":"&lt;sup&gt;10&lt;/sup&gt;"},"properties":{"noteIndex":0},"schema":"https://github.com/citation-style-language/schema/raw/master/csl-citation.json"}</w:instrText>
      </w:r>
      <w:r>
        <w:rPr>
          <w:rFonts w:cstheme="minorHAnsi"/>
          <w:color w:val="212121"/>
          <w:shd w:val="clear" w:color="auto" w:fill="FFFFFF"/>
        </w:rPr>
        <w:fldChar w:fldCharType="separate"/>
      </w:r>
      <w:r w:rsidRPr="00D37D4E">
        <w:rPr>
          <w:rFonts w:cstheme="minorHAnsi"/>
          <w:noProof/>
          <w:color w:val="212121"/>
          <w:shd w:val="clear" w:color="auto" w:fill="FFFFFF"/>
          <w:vertAlign w:val="superscript"/>
        </w:rPr>
        <w:t>10</w:t>
      </w:r>
      <w:r>
        <w:rPr>
          <w:rFonts w:cstheme="minorHAnsi"/>
          <w:color w:val="212121"/>
          <w:shd w:val="clear" w:color="auto" w:fill="FFFFFF"/>
        </w:rPr>
        <w:fldChar w:fldCharType="end"/>
      </w:r>
      <w:r>
        <w:rPr>
          <w:rFonts w:cstheme="minorHAnsi"/>
          <w:color w:val="212121"/>
          <w:shd w:val="clear" w:color="auto" w:fill="FFFFFF"/>
        </w:rPr>
        <w:t xml:space="preserve"> as well as worse graft and patient survival </w:t>
      </w:r>
      <w:r>
        <w:rPr>
          <w:rFonts w:cstheme="minorHAnsi"/>
          <w:color w:val="212121"/>
          <w:shd w:val="clear" w:color="auto" w:fill="FFFFFF"/>
        </w:rPr>
        <w:fldChar w:fldCharType="begin" w:fldLock="1"/>
      </w:r>
      <w:r>
        <w:rPr>
          <w:rFonts w:cstheme="minorHAnsi"/>
          <w:color w:val="212121"/>
          <w:shd w:val="clear" w:color="auto" w:fill="FFFFFF"/>
        </w:rPr>
        <w:instrText>ADDIN CSL_CITATION {"citationItems":[{"id":"ITEM-1","itemData":{"DOI":"10.1186/s12916-015-0340-5","ISBN":"1291601503","ISSN":"17417015","PMID":"25963131","abstract":"Background: Whether overweight or obese end stage renal disease (ESRD) patients are suitable for renal transplantation (RT) is often debated. The objective of this review and meta-analysis was to systematically investigate the outcome of low versus high BMI recipients after RT. Methods: Comprehensive searches were conducted in MEDLINE OvidSP, Web of Science, Google Scholar, Embase, and CENTRAL (the Cochrane Library 2014, issue 8). We reviewed four major guidelines that are available regarding (potential) RT recipients. The methodology was in accordance with the Cochrane Handbook for Systematic Reviews of Interventions and written based on the PRISMA statement. The quality assessment of studies was performed by using the GRADE tool. A meta-analysis was performed using Review Manager 5.3. Random-effects models were used. Results: After identifying 5,526 studies addressing this topic, 56 studies were included. We extracted data for 37 outcome measures (including data of more than 209,000 RT recipients), of which 26 could be meta-analysed. The following outcome measures demonstrated significant differences in favour of low BMI (&lt;30) recipients: mortality (RR = 1.52), delayed graft function (RR = 1.52), acute rejection (RR = 1.17), 1-, 2-, and 3-year graft survival (RR = 0.97, 0.95, and 0.97), 1-, 2-, and 3-year patient survival (RR = 0.99, 0.99, and 0.99), wound infection and dehiscence (RR = 3.13 and 4.85), NODAT (RR = 2.24), length of hospital stay (2.31 days), operation duration (0.77 hours), hypertension (RR = 1.35), and incisional hernia (RR = 2.72). However, patient survival expressed in hazard ratios was in significant favour of high BMI recipients. Differences in other outcome parameters were not significant. Conclusions: Several of the pooled outcome measurements show significant benefits for 'low' BMI (&lt;30) recipients. Therefore, we postulate that ESRD patients with a BMI &gt;30 preferably should lose weight prior to RT. If this cannot be achieved with common measures, in morbidly obese RT candidates, bariatric surgery could be considered.","author":[{"dropping-particle":"","family":"Lafranca","given":"Jeffrey A.","non-dropping-particle":"","parse-names":false,"suffix":""},{"dropping-particle":"","family":"IJermans","given":"Jan N.M.","non-dropping-particle":"","parse-names":false,"suffix":""},{"dropping-particle":"","family":"Betjes","given":"Michiel G.H.","non-dropping-particle":"","parse-names":false,"suffix":""},{"dropping-particle":"","family":"Dor","given":"Frank J.M.F.","non-dropping-particle":"","parse-names":false,"suffix":""}],"container-title":"BMC Medicine","id":"ITEM-1","issue":"1","issued":{"date-parts":[["2015"]]},"page":"1-18","title":"Body mass index and outcome in renal transplant recipients: A systematic review and meta-analysis","type":"article-journal","volume":"13"},"uris":["http://www.mendeley.com/documents/?uuid=35c406e7-66d8-4bff-905b-555b521d485d"]}],"mendeley":{"formattedCitation":"&lt;sup&gt;7&lt;/sup&gt;","plainTextFormattedCitation":"7","previouslyFormattedCitation":"&lt;sup&gt;7&lt;/sup&gt;"},"properties":{"noteIndex":0},"schema":"https://github.com/citation-style-language/schema/raw/master/csl-citation.json"}</w:instrText>
      </w:r>
      <w:r>
        <w:rPr>
          <w:rFonts w:cstheme="minorHAnsi"/>
          <w:color w:val="212121"/>
          <w:shd w:val="clear" w:color="auto" w:fill="FFFFFF"/>
        </w:rPr>
        <w:fldChar w:fldCharType="separate"/>
      </w:r>
      <w:r w:rsidRPr="00D37D4E">
        <w:rPr>
          <w:rFonts w:cstheme="minorHAnsi"/>
          <w:noProof/>
          <w:color w:val="212121"/>
          <w:shd w:val="clear" w:color="auto" w:fill="FFFFFF"/>
          <w:vertAlign w:val="superscript"/>
        </w:rPr>
        <w:t>7</w:t>
      </w:r>
      <w:r>
        <w:rPr>
          <w:rFonts w:cstheme="minorHAnsi"/>
          <w:color w:val="212121"/>
          <w:shd w:val="clear" w:color="auto" w:fill="FFFFFF"/>
        </w:rPr>
        <w:fldChar w:fldCharType="end"/>
      </w:r>
      <w:r>
        <w:rPr>
          <w:rFonts w:cstheme="minorHAnsi"/>
          <w:color w:val="212121"/>
          <w:shd w:val="clear" w:color="auto" w:fill="FFFFFF"/>
        </w:rPr>
        <w:t xml:space="preserve">.  </w:t>
      </w:r>
    </w:p>
    <w:p w14:paraId="148467A6" w14:textId="77777777" w:rsidR="00A51E53" w:rsidRDefault="00A51E53" w:rsidP="008D4BDF">
      <w:pPr>
        <w:spacing w:line="276" w:lineRule="auto"/>
        <w:jc w:val="both"/>
      </w:pPr>
      <w:r>
        <w:t>Most of p</w:t>
      </w:r>
      <w:r w:rsidRPr="00C7487E">
        <w:t xml:space="preserve">ost-transplant weight gain </w:t>
      </w:r>
      <w:r>
        <w:t xml:space="preserve">occurs in the </w:t>
      </w:r>
      <w:proofErr w:type="gramStart"/>
      <w:r>
        <w:t>first year</w:t>
      </w:r>
      <w:proofErr w:type="gramEnd"/>
      <w:r>
        <w:t xml:space="preserve"> post-transplant and affects a significant proportion of recipients. A Swiss cohort study found 30% of recipients gained </w:t>
      </w:r>
      <w:r>
        <w:rPr>
          <w:rFonts w:cstheme="minorHAnsi"/>
        </w:rPr>
        <w:t>≥</w:t>
      </w:r>
      <w:r>
        <w:t xml:space="preserve">5% of their 6 month post-transplant weight at 3 years post-transplantation </w:t>
      </w:r>
      <w:r>
        <w:fldChar w:fldCharType="begin" w:fldLock="1"/>
      </w:r>
      <w:r>
        <w:instrText>ADDIN CSL_CITATION {"citationItems":[{"id":"ITEM-1","itemData":{"DOI":"10.1111/ctr.12896","ISSN":"13990012","PMID":"28008650","abstract":"Obesity and weight gain are serious concerns after solid organ transplantation (Tx); however, no unbiased comparison regarding body weight parameter evolution across organ groups has yet been performed. Using data from the prospective nationwide Swiss Transplant Cohort Study, we compared the evolution of weight parameters up to 3 years post-Tx in 1359 adult kidney (58.3%), liver (21.7%), lung (11.6%), and heart (8.4%) recipients transplanted between May 2008 and May 2012. Changes in mean weight and body mass index (BMI) category were compared to reference values from 6 months post-Tx. At 3 years post-Tx, compared to other organ groups, liver Tx recipients showed the greatest weight gain (mean 4.8±10.4 kg), 57.4% gained &gt;5% body weight, and they had the highest incidence of obesity (38.1%). After 3 years, based on their BMI categories at 6 months, normal weight and obese liver Tx patients, as well as underweight kidney, lung and heart Tx patients had the highest weight gains. Judged against international Tx patient data, the majority of our Swiss Tx recipients’ experienced lower post-Tx weight gain. However, our findings show weight gain pattern differences, both within and across organ Tx groups that call for preventive measures.","author":[{"dropping-particle":"","family":"Beckmann","given":"Sonja","non-dropping-particle":"","parse-names":false,"suffix":""},{"dropping-particle":"","family":"Nikolic","given":"Nataša","non-dropping-particle":"","parse-names":false,"suffix":""},{"dropping-particle":"","family":"Denhaerynck","given":"Kris","non-dropping-particle":"","parse-names":false,"suffix":""},{"dropping-particle":"","family":"Binet","given":"Isabelle","non-dropping-particle":"","parse-names":false,"suffix":""},{"dropping-particle":"","family":"Koller","given":"Michael","non-dropping-particle":"","parse-names":false,"suffix":""},{"dropping-particle":"","family":"Boely","given":"Elsa","non-dropping-particle":"","parse-names":false,"suffix":""},{"dropping-particle":"","family":"Geest","given":"Sabina","non-dropping-particle":"De","parse-names":false,"suffix":""},{"dropping-particle":"","family":"Berben","given":"Lut","non-dropping-particle":"","parse-names":false,"suffix":""},{"dropping-particle":"","family":"Burkhalter","given":"Hanna","non-dropping-particle":"","parse-names":false,"suffix":""},{"dropping-particle":"","family":"Claes","given":"Veerle","non-dropping-particle":"","parse-names":false,"suffix":""},{"dropping-particle":"","family":"Helmy","given":"Remon","non-dropping-particle":"","parse-names":false,"suffix":""},{"dropping-particle":"","family":"Kirsch","given":"Monika","non-dropping-particle":"","parse-names":false,"suffix":""},{"dropping-particle":"","family":"Leppla","given":"Lynn","non-dropping-particle":"","parse-names":false,"suffix":""},{"dropping-particle":"","family":"Mauthner","given":"Oliver","non-dropping-particle":"","parse-names":false,"suffix":""},{"dropping-particle":"","family":"Struker","given":"Marian","non-dropping-particle":"","parse-names":false,"suffix":""},{"dropping-particle":"","family":"Boehler","given":"Annette","non-dropping-particle":"","parse-names":false,"suffix":""},{"dropping-particle":"","family":"Gerull","given":"Sabine","non-dropping-particle":"","parse-names":false,"suffix":""},{"dropping-particle":"","family":"Huynh-Do","given":"Uyen","non-dropping-particle":"","parse-names":false,"suffix":""},{"dropping-particle":"","family":"Catana","given":"Emmanuelle","non-dropping-particle":"","parse-names":false,"suffix":""},{"dropping-particle":"","family":"Simcox","given":"Amira","non-dropping-particle":"","parse-names":false,"suffix":""},{"dropping-particle":"","family":"Seiler","given":"Annina","non-dropping-particle":"","parse-names":false,"suffix":""},{"dropping-particle":"","family":"Klaghofer","given":"Richard","non-dropping-particle":"","parse-names":false,"suffix":""},{"dropping-particle":"","family":"Künzler-Heule","given":"Patrizia","non-dropping-particle":"","parse-names":false,"suffix":""},{"dropping-particle":"","family":"Achermann","given":"Rita","non-dropping-particle":"","parse-names":false,"suffix":""},{"dropping-particle":"","family":"Amico","given":"Patrizia","non-dropping-particle":"","parse-names":false,"suffix":""},{"dropping-particle":"","family":"Aubert","given":"John David","non-dropping-particle":"","parse-names":false,"suffix":""},{"dropping-particle":"","family":"Banz","given":"Vanessa","non-dropping-particle":"","parse-names":false,"suffix":""},{"dropping-particle":"","family":"Beldi","given":"Guido","non-dropping-particle":"","parse-names":false,"suffix":""},{"dropping-particle":"","family":"Benden","given":"Christian","non-dropping-particle":"","parse-names":false,"suffix":""},{"dropping-particle":"","family":"Berger","given":"Christoph","non-dropping-particle":"","parse-names":false,"suffix":""},{"dropping-particle":"","family":"Bochud","given":"Pierre Yves","non-dropping-particle":"","parse-names":false,"suffix":""},{"dropping-particle":"","family":"Bucher","given":"Heiner","non-dropping-particle":"","parse-names":false,"suffix":""},{"dropping-particle":"","family":"Bühler","given":"Leo","non-dropping-particle":"","parse-names":false,"suffix":""},{"dropping-particle":"","family":"Carell","given":"Thierry","non-dropping-particle":"","parse-names":false,"suffix":""},{"dropping-particle":"","family":"Chalandon","given":"Yves","non-dropping-particle":"","parse-names":false,"suffix":""},{"dropping-particle":"","family":"Rougemont","given":"Olivier","non-dropping-particle":"de","parse-names":false,"suffix":""},{"dropping-particle":"","family":"Dickenmann","given":"Michael","non-dropping-particle":"","parse-names":false,"suffix":""},{"dropping-particle":"","family":"Duchosal","given":"Michel","non-dropping-particle":"","parse-names":false,"suffix":""},{"dropping-particle":"","family":"Elkrief","given":"Laure","non-dropping-particle":"","parse-names":false,"suffix":""},{"dropping-particle":"","family":"Fehr","given":"Thomas","non-dropping-particle":"","parse-names":false,"suffix":""},{"dropping-particle":"","family":"Ferrari-Lacraz","given":"Sylvie","non-dropping-particle":"","parse-names":false,"suffix":""},{"dropping-particle":"","family":"Garzoni","given":"Christian","non-dropping-particle":"","parse-names":false,"suffix":""},{"dropping-particle":"","family":"Soccal","given":"Paola Gasche","non-dropping-particle":"","parse-names":false,"suffix":""},{"dropping-particle":"","family":"Gaudet","given":"Christophe","non-dropping-particle":"","parse-names":false,"suffix":""},{"dropping-particle":"","family":"Giostra","given":"Emiliano","non-dropping-particle":"","parse-names":false,"suffix":""},{"dropping-particle":"","family":"Golshayan","given":"Déla","non-dropping-particle":"","parse-names":false,"suffix":""},{"dropping-particle":"","family":"Hadaya","given":"Karine","non-dropping-particle":"","parse-names":false,"suffix":""},{"dropping-particle":"","family":"Halter","given":"Jörg","non-dropping-particle":"","parse-names":false,"suffix":""},{"dropping-particle":"","family":"Heim","given":"Dominik","non-dropping-particle":"","parse-names":false,"suffix":""},{"dropping-particle":"","family":"Hess","given":"Christoph","non-dropping-particle":"","parse-names":false,"suffix":""},{"dropping-particle":"","family":"Hillinger","given":"Sven","non-dropping-particle":"","parse-names":false,"suffix":""},{"dropping-particle":"","family":"Hirsch","given":"Hans H.","non-dropping-particle":"","parse-names":false,"suffix":""},{"dropping-particle":"","family":"Hofbauer","given":"Günther","non-dropping-particle":"","parse-names":false,"suffix":""},{"dropping-particle":"","family":"Immer","given":"Franz","non-dropping-particle":"","parse-names":false,"suffix":""},{"dropping-particle":"","family":"Laesser","given":"Bettina","non-dropping-particle":"","parse-names":false,"suffix":""},{"dropping-particle":"","family":"Lehmann","given":"Roger","non-dropping-particle":"","parse-names":false,"suffix":""},{"dropping-particle":"","family":"Lovis","given":"Christian","non-dropping-particle":"","parse-names":false,"suffix":""},{"dropping-particle":"","family":"Manuel","given":"Oriol","non-dropping-particle":"","parse-names":false,"suffix":""},{"dropping-particle":"","family":"Marti","given":"Hans Peter","non-dropping-particle":"","parse-names":false,"suffix":""},{"dropping-particle":"","family":"Martin","given":"Pierre Yves","non-dropping-particle":"","parse-names":false,"suffix":""},{"dropping-particle":"","family":"Meylan","given":"Pascal","non-dropping-particle":"","parse-names":false,"suffix":""},{"dropping-particle":"","family":"Mohacsi","given":"Paul","non-dropping-particle":"","parse-names":false,"suffix":""},{"dropping-particle":"","family":"Morel","given":"Philippe","non-dropping-particle":"","parse-names":false,"suffix":""},{"dropping-particle":"","family":"Mueller","given":"Ulrike","non-dropping-particle":"","parse-names":false,"suffix":""},{"dropping-particle":"","family":"Mueller","given":"Nicolas J.","non-dropping-particle":"","parse-names":false,"suffix":""},{"dropping-particle":"","family":"Mueller-McKenna","given":"Helen","non-dropping-particle":"","parse-names":false,"suffix":""},{"dropping-particle":"","family":"Müller","given":"Antonia","non-dropping-particle":"","parse-names":false,"suffix":""},{"dropping-particle":"","family":"Müller","given":"Thomas","non-dropping-particle":"","parse-names":false,"suffix":""},{"dropping-particle":"","family":"Müllhaupt","given":"Beat","non-dropping-particle":"","parse-names":false,"suffix":""},{"dropping-particle":"","family":"Nadal","given":"David","non-dropping-particle":"","parse-names":false,"suffix":""},{"dropping-particle":"","family":"Pascual","given":"Manuel","non-dropping-particle":"","parse-names":false,"suffix":""},{"dropping-particle":"","family":"Passweg","given":"Jakob","non-dropping-particle":"","parse-names":false,"suffix":""},{"dropping-particle":"","family":"Rick","given":"Juliane","non-dropping-particle":"","parse-names":false,"suffix":""},{"dropping-particle":"","family":"Roosnek","given":"Eddy","non-dropping-particle":"","parse-names":false,"suffix":""},{"dropping-particle":"","family":"Rosselet","given":"Anne","non-dropping-particle":"","parse-names":false,"suffix":""},{"dropping-particle":"","family":"Rothlin","given":"Silvia","non-dropping-particle":"","parse-names":false,"suffix":""},{"dropping-particle":"","family":"Ruschitzka","given":"Frank","non-dropping-particle":"","parse-names":false,"suffix":""},{"dropping-particle":"","family":"Schanz","given":"Urs","non-dropping-particle":"","parse-names":false,"suffix":""},{"dropping-particle":"","family":"Schaub","given":"Stefan","non-dropping-particle":"","parse-names":false,"suffix":""},{"dropping-particle":"","family":"Schnyder","given":"Aurelia","non-dropping-particle":"","parse-names":false,"suffix":""},{"dropping-particle":"","family":"Seiler","given":"Christian","non-dropping-particle":"","parse-names":false,"suffix":""},{"dropping-particle":"","family":"Stampf","given":"Susanne","non-dropping-particle":"","parse-names":false,"suffix":""},{"dropping-particle":"","family":"Steiger","given":"Jürg","non-dropping-particle":"","parse-names":false,"suffix":""},{"dropping-particle":"","family":"Stirnimann","given":"Guido","non-dropping-particle":"","parse-names":false,"suffix":""},{"dropping-particle":"","family":"Toso","given":"Christian","non-dropping-particle":"","parse-names":false,"suffix":""},{"dropping-particle":"","family":"Delden","given":"Christian","non-dropping-particle":"Van","parse-names":false,"suffix":""},{"dropping-particle":"","family":"Venetz","given":"Jean Pierre","non-dropping-particle":"","parse-names":false,"suffix":""},{"dropping-particle":"","family":"Villard","given":"Jean","non-dropping-particle":"","parse-names":false,"suffix":""},{"dropping-particle":"","family":"Wick","given":"Madeleine","non-dropping-particle":"","parse-names":false,"suffix":""},{"dropping-particle":"","family":"Wilhelm","given":"Markus","non-dropping-particle":"","parse-names":false,"suffix":""},{"dropping-particle":"","family":"Yerly","given":"Patrick","non-dropping-particle":"","parse-names":false,"suffix":""}],"container-title":"Clinical Transplantation","id":"ITEM-1","issue":"3","issued":{"date-parts":[["2017"]]},"page":"1-11","title":"Evolution of body weight parameters up to 3 years after solid organ transplantation: The prospective Swiss Transplant Cohort Study","type":"article-journal","volume":"31"},"uris":["http://www.mendeley.com/documents/?uuid=a7f77369-58b3-4a01-b19f-bae36d684efb"]}],"mendeley":{"formattedCitation":"&lt;sup&gt;11&lt;/sup&gt;","plainTextFormattedCitation":"11","previouslyFormattedCitation":"&lt;sup&gt;11&lt;/sup&gt;"},"properties":{"noteIndex":0},"schema":"https://github.com/citation-style-language/schema/raw/master/csl-citation.json"}</w:instrText>
      </w:r>
      <w:r>
        <w:fldChar w:fldCharType="separate"/>
      </w:r>
      <w:r w:rsidRPr="00D37D4E">
        <w:rPr>
          <w:noProof/>
          <w:vertAlign w:val="superscript"/>
        </w:rPr>
        <w:t>11</w:t>
      </w:r>
      <w:r>
        <w:fldChar w:fldCharType="end"/>
      </w:r>
      <w:r>
        <w:t xml:space="preserve"> whilst another Brazilian retrospective cohort study found over 70% of kidney transplant recipients gaining weight at 1 year, with over 70% of these gaining </w:t>
      </w:r>
      <w:r>
        <w:rPr>
          <w:rFonts w:cstheme="minorHAnsi"/>
        </w:rPr>
        <w:t>≥</w:t>
      </w:r>
      <w:r>
        <w:t xml:space="preserve">5% and over 40% gaining </w:t>
      </w:r>
      <w:r>
        <w:rPr>
          <w:rFonts w:cstheme="minorHAnsi"/>
        </w:rPr>
        <w:t>≥</w:t>
      </w:r>
      <w:r>
        <w:t xml:space="preserve">10% of their baseline transplant weight </w:t>
      </w:r>
      <w:r>
        <w:fldChar w:fldCharType="begin" w:fldLock="1"/>
      </w:r>
      <w:r>
        <w:instrText>ADDIN CSL_CITATION {"citationItems":[{"id":"ITEM-1","itemData":{"DOI":"10.1371/journal.pone.0243394","ISBN":"1111111111","ISSN":"19326203","PMID":"33370293","abstract":"Background: Renal transplantation is the best modality of renal replacement therapy for patients with end-stage renal disease. However, it is associated with weight gain and metabolic abnormalities, which adversely impact transplant outcomes. Objective: The objective of this study was to identify the risk factors of one-year weight gain after renal transplantation. Methods: A retrospective cohort study was conducted with 374 patients that underwent kidney transplantation between January 2006 and July 2013. Clinical and laboratory variables were collected from electronic records, and the outcome of interest was weight gain during the first year after renal transplantation. The data were reported as mean ± standard deviation, median (interquartile range) or number of subjects (%). The association between variables were assessed via chi-square test and ANOVA. For analysis of risk factors related to the outcomes of interest, multivariable logistic regression models were used. Results: There were 181 (48.4%) female patients, 334 (89.3%) with white ethnicity and the mean age was 44.4 ± 12.8 years. The mean BMI pre-transplant was 24.7 ± 4.1 kg/m2, and 35 (9.9%) patients were classified as obese; 119 (33.6%) as overweight; 187 (52.8%) as normal weight; and 13 (3.7%) as malnourished. After one year of follow-up, the mean BMI was 26.2 ± 5.0 kg/m2, and 61 (17.3%) patients were classified as obese; 133 (37.8%) as overweight; 148 (42.0%) as normal weight; and 10 (2.8%) as malnourished. Weight gain was observed in 72.7% patients, and the average increase was 7.12 ± 5.9 kg. The female gender, lower pre-transplant body weight, lower number of hospitalizations, and a kidney received from a living donor were associated with weight gain by more than 5% in the first year posttransplant. Conclusion: Female gender and lower pre-transplant body weight were independently associated with weight gain by more than 5% in the first year after kidney transplantation; lower rates of hospitalization and donation from living donors were also risk factors for this outcome.","author":[{"dropping-particle":"","family":"Forte","given":"Cristina Carra","non-dropping-particle":"","parse-names":false,"suffix":""},{"dropping-particle":"","family":"Pedrollo","given":"Elis Forcellini","non-dropping-particle":"","parse-names":false,"suffix":""},{"dropping-particle":"","family":"Nicoletto","given":"Bruna Bellincanta","non-dropping-particle":"","parse-names":false,"suffix":""},{"dropping-particle":"","family":"Lopes","given":"Jéssica Blatt","non-dropping-particle":"","parse-names":false,"suffix":""},{"dropping-particle":"","family":"Manfro","given":"Roberto Ceratti","non-dropping-particle":"","parse-names":false,"suffix":""},{"dropping-particle":"","family":"Souza","given":"Gabriela Corrêa","non-dropping-particle":"","parse-names":false,"suffix":""},{"dropping-particle":"","family":"Leitão","given":"Cristiane Bauermann","non-dropping-particle":"","parse-names":false,"suffix":""}],"container-title":"PLoS ONE","id":"ITEM-1","issue":"12 December","issued":{"date-parts":[["2020"]]},"page":"1-11","title":"Risk factors associated with weight gain after kidney transplantation: A cohort study","type":"article-journal","volume":"15"},"uris":["http://www.mendeley.com/documents/?uuid=b9e7aec8-7f61-416d-bd9f-8313ae08d085"]}],"mendeley":{"formattedCitation":"&lt;sup&gt;12&lt;/sup&gt;","plainTextFormattedCitation":"12","previouslyFormattedCitation":"&lt;sup&gt;12&lt;/sup&gt;"},"properties":{"noteIndex":0},"schema":"https://github.com/citation-style-language/schema/raw/master/csl-citation.json"}</w:instrText>
      </w:r>
      <w:r>
        <w:fldChar w:fldCharType="separate"/>
      </w:r>
      <w:r w:rsidRPr="00D37D4E">
        <w:rPr>
          <w:noProof/>
          <w:vertAlign w:val="superscript"/>
        </w:rPr>
        <w:t>12</w:t>
      </w:r>
      <w:r>
        <w:fldChar w:fldCharType="end"/>
      </w:r>
      <w:r>
        <w:t xml:space="preserve">.  </w:t>
      </w:r>
    </w:p>
    <w:p w14:paraId="3688FFC1" w14:textId="77777777" w:rsidR="00A51E53" w:rsidRDefault="00A51E53" w:rsidP="008D4BDF">
      <w:pPr>
        <w:spacing w:line="276" w:lineRule="auto"/>
        <w:jc w:val="both"/>
      </w:pPr>
      <w:r>
        <w:t xml:space="preserve">Results from studies investigating pre-transplant body mass index (BMI) and its effect on the kidney transplant recipient and long-term graft survival have shown conflicting findings. Jary et al found there to be no impact of obesity on longer term outcomes </w:t>
      </w:r>
      <w:r>
        <w:fldChar w:fldCharType="begin" w:fldLock="1"/>
      </w:r>
      <w:r>
        <w:instrText>ADDIN CSL_CITATION {"citationItems":[{"id":"ITEM-1","itemData":{"DOI":"10.1016/j.transproceed.2021.09.040","ISSN":"18732623","PMID":"34785026","abstract":"Background: The aim of the study was to assess the influence of pretransplant body mass index (BMI [calculated as weight in kilograms divided by height in meters squared]) to the graft and patient 5- and 10-year survival. Methods: Our study group consisted of 706 patients who received their kidney transplant after the year 2000. Results: Almost half, 51.9% (n = 372) of the patients had BMI &lt; 25, and 47.6% (n = 336) had BMI ≥ 25. Patients who were overweight or obese were significantly older than other groups (P =.01). The 5-year recipient survival was significantly better in the BMI &lt; 25 group (n = 291, 79.5%) than the BMI ≥ 25 group (n = 238, 70.2%, P &lt;.05). In addition, 10-year recipient survival was better in the BMI &lt; 25 group (n = 175, 47.8%) compared with the BMI ≥ 25 group (n = 127, 37.5%, P &lt;.05). Similarly, 5-year graft survival was better in the BMI &lt; 25 group (66.9%, n = 242) compared with the BMI ≥ 25 group (61.1%, n = 204, P &lt;.05). However, 10-year graft survival was not statistically significant (P =.08). Regarding the impact of diabetes on survival, we found patients with diabetes mellitus to have worse survival in all groups (P =.009). Conclusions: Recipient graft survival was affected by diabetes mellitus independently from being overweight. In the current study, we demonstrated that pretransplant obesity or being overweight affects recipient and graft short-term survival, but long-term comparison of patients who were overweight or obese with patients with normal BMI revealed minimal recipient survival differences and in graft survival analysis no difference. Although in many studies obesity and being overweight predict a bad outcome for kidney transplant recipient survival, our research did not fully confirm it. Diabetes mellitus had worse outcome in all patients groups.","author":[{"dropping-particle":"","family":"Järv","given":"Leelo","non-dropping-particle":"","parse-names":false,"suffix":""},{"dropping-particle":"","family":"Pechter","given":"Ülle","non-dropping-particle":"","parse-names":false,"suffix":""},{"dropping-particle":"","family":"Kuudeberg","given":"Anne","non-dropping-particle":"","parse-names":false,"suffix":""},{"dropping-particle":"","family":"Lember","given":"Margus","non-dropping-particle":"","parse-names":false,"suffix":""},{"dropping-particle":"","family":"Ots-Rosenberg","given":"Mai","non-dropping-particle":"","parse-names":false,"suffix":""}],"container-title":"Transplantation Proceedings","id":"ITEM-1","issue":"10","issued":{"date-parts":[["2021"]]},"page":"2879-2887","title":"Effect of Pretransplant Body Mass Index on Kidney Transplant Recipient and Graft Long-term Survival","type":"article-journal","volume":"53"},"uris":["http://www.mendeley.com/documents/?uuid=69ca789d-00ad-47de-8912-4b535e199413"]}],"mendeley":{"formattedCitation":"&lt;sup&gt;13&lt;/sup&gt;","plainTextFormattedCitation":"13","previouslyFormattedCitation":"&lt;sup&gt;13&lt;/sup&gt;"},"properties":{"noteIndex":0},"schema":"https://github.com/citation-style-language/schema/raw/master/csl-citation.json"}</w:instrText>
      </w:r>
      <w:r>
        <w:fldChar w:fldCharType="separate"/>
      </w:r>
      <w:r w:rsidRPr="00D37D4E">
        <w:rPr>
          <w:noProof/>
          <w:vertAlign w:val="superscript"/>
        </w:rPr>
        <w:t>13</w:t>
      </w:r>
      <w:r>
        <w:fldChar w:fldCharType="end"/>
      </w:r>
      <w:r>
        <w:t>.  However , in other studies, s</w:t>
      </w:r>
      <w:r w:rsidRPr="00C7487E">
        <w:t xml:space="preserve">ignificant weight gain post kidney transplant (defined as more than 10% after the first year and more than 20% after 2 years) has been associated with poor transplant outcomes such as worse graft function and post-operative complications </w:t>
      </w:r>
      <w:r>
        <w:fldChar w:fldCharType="begin" w:fldLock="1"/>
      </w:r>
      <w:r>
        <w:instrText>ADDIN CSL_CITATION {"citationItems":[{"id":"ITEM-1","itemData":{"DOI":"10.1016/j.transproceed.2019.02.012","ISSN":"18732623","PMID":"31101178","abstract":"Purpose: Correlating with the obesity epidemic, the number of obese transplant candidates is increasing. This study was designed to evaluate the effect of obesity on the survival of our kidney transplant recipients. Methods: Among 1033 kidney transplants performed during the last 7.5 years in our center, 750 adult recipients were transplanted from living donors and were evaluated, and 561 of them were included in the study. Demographic and clinical data were collected. Body mass index (BMI)values at the time of transplant and post-transplant during the first year, the presence of delayed graft function, hospitalization duration, number of readmissions within the first year post-transplant, presence of post-transplant diabetes mellitus (PTDM)and cardiovascular disease, and graft and patient survival rates at 1, 3, and 5 years were investigated. Results: Obesity (BMI &gt;30)was observed in 148 (19.7%)at the time of the transplant (initial obesity)and in 174 (23.2%)recipients at post-transplant first year. Initial obesity was not only found to be correlated with delayed wound healing (P =.03), increased hospitalization duration (P =.03), number of readmissions within the first year (P =.04), presence of PTDM (P =.02), and cardiovascular disease (P =.03)but also with lower graft survival rate (P =.04)at the first year. On the other hand, obesity at post-transplant the first year was associated with lower 3- and 5-year grafts (P =.04 and P =.03, respectively)and 5-year patient (P =.03)survival rates. Conclusion: Obesity should not be considered as a contraindication for kidney transplantation; however, to achieve better results, certain precautions should be taken pre- and postoperatively.","author":[{"dropping-particle":"","family":"Erturk","given":"T.","non-dropping-particle":"","parse-names":false,"suffix":""},{"dropping-particle":"","family":"Berber","given":"I.","non-dropping-particle":"","parse-names":false,"suffix":""},{"dropping-particle":"","family":"Cakir","given":"U.","non-dropping-particle":"","parse-names":false,"suffix":""}],"container-title":"Transplantation Proceedings","id":"ITEM-1","issue":"4","issued":{"date-parts":[["2019"]]},"page":"1093-1095","publisher":"Elsevier Inc.","title":"Effect of Obesity on Clinical Outcomes of Kidney Transplant Patients","type":"article-journal","volume":"51"},"uris":["http://www.mendeley.com/documents/?uuid=bfc93d55-5397-410d-baa6-84e9e7bf58ac"]},{"id":"ITEM-2","itemData":{"DOI":"10.1016/j.trre.2016.07.006","ISBN":"1473702593","ISSN":"15579816","PMID":"27534874","abstract":"Obesity is associated with worse short-term outcomes after kidney transplantation but the effect on long-term outcomes is unknown. Although some studies have reported worse outcomes for obese recipients when compared to recipients with a BMI in the normal range, obese recipients who receive a transplant have better outcomes than those who remain wait-listed. Whether transplant candidates should be advised to lose weight before or after transplant has been debated and this is mainly due to the gap in the literature linking pre-transplant weight loss with better outcomes post-transplantation. The issue is further complicated by the use of BMI as a metric of body fat, the obesity paradox in dialysis patients and the different ethical viewpoints of utility versus equity. Measures used to reduce weight loss, including orlistat and bariatric surgery (in particular those with a malabsorptive component), have been associated with enteric hyperoxaluria with consequent risk of nephrolithiasis and oxalate nephropathy. In this review, we discuss the evidence regarding the use of weight loss measures in the kidney transplant candidate and recipient with a view to recommending whether weight loss should be pursued before or after kidney transplantation.","author":[{"dropping-particle":"","family":"Camilleri","given":"Brian","non-dropping-particle":"","parse-names":false,"suffix":""},{"dropping-particle":"","family":"Bridson","given":"Julie M.","non-dropping-particle":"","parse-names":false,"suffix":""},{"dropping-particle":"","family":"Sharma","given":"Ajay","non-dropping-particle":"","parse-names":false,"suffix":""},{"dropping-particle":"","family":"Halawa","given":"Ahmed","non-dropping-particle":"","parse-names":false,"suffix":""}],"container-title":"Transplantation Reviews","id":"ITEM-2","issue":"4","issued":{"date-parts":[["2016"]]},"page":"203-211","publisher":"Elsevier Inc.","title":"From chronic kidney disease to kidney transplantation: The impact of obesity and its treatment modalities","type":"article-journal","volume":"30"},"uris":["http://www.mendeley.com/documents/?uuid=fe1a9415-f070-4366-bd37-d614f70690b1"]},{"id":"ITEM-3","itemData":{"DOI":"10.1111/j.1600-6143.2011.03468.x","ISSN":"16006135","PMID":"21446975","abstract":"A body mass index (BMI) below morbid obesity range is often a requirement for kidney transplant wait-listing, but data linking BMI changes to mortality during the waitlist period are lacking. By linking the 6-year (7/2001-6/2007) national databases of a large dialysis organization and the Scientific Registry of Transplant Recipients, we identified 14 632 waitlisted hemodialysis patients without kidney transplantation. Time-dependent survival models examined the mortality predictability of 13-week-averaged BMI, pretransplant serum creatinine as a muscle mass surrogate and their changes over time. The patients were on average 52 ± 13 years old, 40% women and had a BMI of 26.9 ± 6.3 kg/m2. Each kg/m2 increase of BMI was associated with a death hazard ratio (HR) of 0.96 (95%CI: 0.95-0.97). Compared to the lowest creatinine quintile, the 4th and 5th quintiles had death HRs of 0.75 (0.66-0.86) and 0.57 (0.49-0.66), respectively. Compared to minimal (&lt; ± 1 kg) weight change over 6 months, those with 3 kg-&lt;5 kg and ≥5 kg weight loss had death HRs of 1.31 (1.14-1.52) and 1.51 (1.30-1.75), respectively. Similar associations were observed with creatinine changes over time. Transplant-waitlisted hemodialysis patients with lower BMI or muscle mass and/or unintentional weight or muscle loss have higher mortality in this observational study. Impact of intentional weight change remains unclear. © 2011 The Authors.","author":[{"dropping-particle":"","family":"Molnar","given":"M. Z.","non-dropping-particle":"","parse-names":false,"suffix":""},{"dropping-particle":"","family":"Streja","given":"E.","non-dropping-particle":"","parse-names":false,"suffix":""},{"dropping-particle":"","family":"Kovesdy","given":"C. P.","non-dropping-particle":"","parse-names":false,"suffix":""},{"dropping-particle":"","family":"Bunnapradist","given":"S.","non-dropping-particle":"","parse-names":false,"suffix":""},{"dropping-particle":"","family":"Sampaio","given":"M. S.","non-dropping-particle":"","parse-names":false,"suffix":""},{"dropping-particle":"","family":"Jing","given":"J.","non-dropping-particle":"","parse-names":false,"suffix":""},{"dropping-particle":"","family":"Krishnan","given":"M.","non-dropping-particle":"","parse-names":false,"suffix":""},{"dropping-particle":"","family":"Nissenson","given":"A. R.","non-dropping-particle":"","parse-names":false,"suffix":""},{"dropping-particle":"","family":"Danovitch","given":"G. M.","non-dropping-particle":"","parse-names":false,"suffix":""},{"dropping-particle":"","family":"Kalantar-Zadeh","given":"K.","non-dropping-particle":"","parse-names":false,"suffix":""}],"container-title":"American Journal of Transplantation","id":"ITEM-3","issue":"4","issued":{"date-parts":[["2011"]]},"page":"725-736","title":"Associations of body mass index and weight loss with mortality in transplant-waitlisted maintenance hemodialysis patients","type":"article-journal","volume":"11"},"uris":["http://www.mendeley.com/documents/?uuid=a9d5420c-badb-4f70-991d-31ec6fb4cf5d"]},{"id":"ITEM-4","itemData":{"DOI":"10.3109/0886022X.2013.819735","ISSN":"0886022X","PMID":"23902319","abstract":"In this study we aimed to evaluate the influence of obesity in kidney and patient survival and graft function. Retrospective cohort study of kidney transplant recipients performed between 2001 and 2009. The body mass index was calculated at time of transplantation, one and five years after. The main outcomes studied were incidence of delayed graft function, new onset diabetes after transplantation, patient and graft survival, and glomerular filtration rate. The prevalence of obesity and overweight patients were 10.7% and 26.8% respectively, with an increase to 16.9% and 32.5% one year after transplantation. Underweight and obese recipients presented a higher incidence of early graft loss. The incidence of new onset diabetes after transplantation was significantly higher at one and five years in overweight or obese recipients at baseline. Overweight and obese recipients presented significantly lower estimated glomerular filtration rate at five years posttransplantation (p= 0.002). In the Kaplan-Meier analyses no statistically significant differences in patients or grafts survivals were observed. Obese patients have a higher rate of early graft failure and a higher new onset diabetes after transplantation incidence. Also, the finding of decreased glomerular filtration rate is worrisome and perhaps longer follow-up will reveal more graft failures and patients deaths in the group of obese recipients. © 2013 Informa Healthcare USA, Inc.","author":[{"dropping-particle":"","family":"Moreira","given":"Thaís Rodrigues","non-dropping-particle":"","parse-names":false,"suffix":""},{"dropping-particle":"","family":"Bassani","given":"Tayron","non-dropping-particle":"","parse-names":false,"suffix":""},{"dropping-particle":"","family":"Souza","given":"Gizele","non-dropping-particle":"De","parse-names":false,"suffix":""},{"dropping-particle":"","family":"Manfro","given":"Roberto Ceratti","non-dropping-particle":"","parse-names":false,"suffix":""},{"dropping-particle":"","family":"Gonçalves","given":"Luiz Felipe Santos","non-dropping-particle":"","parse-names":false,"suffix":""}],"container-title":"Renal Failure","id":"ITEM-4","issue":"9","issued":{"date-parts":[["2013"]]},"page":"1199-1203","title":"Obesity in kidney transplant recipients: Association with decline in glomerular filtration rate","type":"article-journal","volume":"35"},"uris":["http://www.mendeley.com/documents/?uuid=bf5f90bd-218a-4261-a0cf-63dada8dd7ba"]},{"id":"ITEM-5","itemData":{"DOI":"10.1016/j.amjsurg.2008.11.021","ISSN":"00029610","PMID":"19245927","abstract":"Objective: To determine the rate of graft failure and complications secondary to morbid obesity in kidney transplant patients at our institution. Methods: A retrospective study involving recipients renal transplants from 2002 to 2007. Patients were divided into 3 groups: group 1, body mass index (BMI) &gt;35 underwent a diet plan and gained weight posttransplant; group 2, BMI &gt;35 underwent successful diet modifications posttransplant; and group 3, BMI &lt;35 did not undergo a diet regimen. Results: Sixty-six patients were studied. Group 1 patients, (n = 21, BMI &gt;35) had higher postoperative complications, longer operative time, and longer hospital stay when compared with their obese counterparts group 3 (n = 23, BMI &lt;35). We saw no significant change in postoperative complications between group 2 and group 3 (n = 22, BMI &gt; 35). Conclusions: Worse graft function and complications were seen with patients who gained weight post operatively. Conversely, a good outcome was seen with those patients that lost weight pre and post operatively. The results of this study may open the field for pretransplant weight loss procedures to improve quality of life, nutrition, and overall health of transplant candidates. © 2009 Elsevier Inc. All rights reserved.","author":[{"dropping-particle":"","family":"Olarte","given":"Ivan G.","non-dropping-particle":"","parse-names":false,"suffix":""},{"dropping-particle":"","family":"Hawasli","given":"Abdelkader","non-dropping-particle":"","parse-names":false,"suffix":""}],"container-title":"American Journal of Surgery","id":"ITEM-5","issue":"3","issued":{"date-parts":[["2009"]]},"page":"424-426","publisher":"Elsevier Inc.","title":"Kidney transplant complications and obesity","type":"article-journal","volume":"197"},"uris":["http://www.mendeley.com/documents/?uuid=69460d74-febb-4469-ad9c-e651aa97f0fb"]}],"mendeley":{"formattedCitation":"&lt;sup&gt;14–18&lt;/sup&gt;","plainTextFormattedCitation":"14–18","previouslyFormattedCitation":"&lt;sup&gt;14–18&lt;/sup&gt;"},"properties":{"noteIndex":0},"schema":"https://github.com/citation-style-language/schema/raw/master/csl-citation.json"}</w:instrText>
      </w:r>
      <w:r>
        <w:fldChar w:fldCharType="separate"/>
      </w:r>
      <w:r w:rsidRPr="00D37D4E">
        <w:rPr>
          <w:noProof/>
          <w:vertAlign w:val="superscript"/>
        </w:rPr>
        <w:t>14–18</w:t>
      </w:r>
      <w:r>
        <w:fldChar w:fldCharType="end"/>
      </w:r>
      <w:r w:rsidRPr="00C7487E">
        <w:t xml:space="preserve">. Others have identified a clear negative association between obesity and </w:t>
      </w:r>
      <w:r>
        <w:t xml:space="preserve">a </w:t>
      </w:r>
      <w:r w:rsidRPr="00C7487E">
        <w:t xml:space="preserve">decline </w:t>
      </w:r>
      <w:r>
        <w:t>in estimated glomerular filtration rate (</w:t>
      </w:r>
      <w:r w:rsidRPr="00C7487E">
        <w:t>eGFR</w:t>
      </w:r>
      <w:r>
        <w:t>)</w:t>
      </w:r>
      <w:r w:rsidRPr="00C7487E">
        <w:t xml:space="preserve"> and allograft survival </w:t>
      </w:r>
      <w:r>
        <w:fldChar w:fldCharType="begin" w:fldLock="1"/>
      </w:r>
      <w:r>
        <w:instrText>ADDIN CSL_CITATION {"citationItems":[{"id":"ITEM-1","itemData":{"DOI":"10.1177/0300060519895139","ISBN":"0300060519895","ISSN":"14732300","PMID":"31939322","abstract":"Objective: This study was performed to examine the suitability of transplantation in kidney transplant recipients (KTRs) with a high body mass index (BMI). Methods: In total, 370 consecutive KTRs stratified according to the World Health Organization BMI categories were retrospectively analysed. The estimated glomerular filtration rate (eGFR) was used to assess allograft function. Results: The mean BMI was 26.2 kg/m2. Among all patients, 148 (40.0%) were pre-obese, 47 (12.7%) were class I obese, 11 (3.0%) were class II obese, and 9 (2.4%) were class III obese. A linear trend for male sex and younger age was observed from the normal BMI group through the progressively higher groups. Overweight and obese KTRs had a significantly higher incidence of pre-transplant diabetes, but there was no difference in post-transplant new-onset hyperglycaemia. Obesity was not a significant risk factor for a lower eGFR at the 1-year follow-up, but it became significant at the 2- and 3-year follow-ups. Graft loss occurred in 28 patients, and 25 patients died during follow-up. No difference in all-cause allograft loss was found among the different BMI groups during follow-up. Conclusion: Obesity affects the eGFR in the long term. Allograft survival was lower, but not significantly.","author":[{"dropping-particle":"","family":"Bellini","given":"Maria Irene","non-dropping-particle":"","parse-names":false,"suffix":""},{"dropping-particle":"","family":"Koutroutsos","given":"Kostas","non-dropping-particle":"","parse-names":false,"suffix":""},{"dropping-particle":"","family":"Nananpragasam","given":"Hannah","non-dropping-particle":"","parse-names":false,"suffix":""},{"dropping-particle":"","family":"Deurloo","given":"Emily","non-dropping-particle":"","parse-names":false,"suffix":""},{"dropping-particle":"","family":"Galliford","given":"Jack","non-dropping-particle":"","parse-names":false,"suffix":""},{"dropping-particle":"","family":"Herbert","given":"Paul Elliot","non-dropping-particle":"","parse-names":false,"suffix":""}],"container-title":"Journal of International Medical Research","id":"ITEM-1","issue":"1","issued":{"date-parts":[["2020"]]},"page":"1-9","title":"Obesity affects graft function but not graft loss in kidney transplant recipients","type":"article-journal","volume":"48"},"uris":["http://www.mendeley.com/documents/?uuid=c816238c-afce-4b23-a72a-f7320e578497"]},{"id":"ITEM-2","itemData":{"DOI":"10.1016/j.jamcollsurg.2009.11.009","ISSN":"10727515","PMID":"20193898","abstract":"Background: Recent studies demonstrate that obesity does not affect survival after kidney transplantation. However, overweight and obesity impair health-related quality of life (HRQOL) in patients with chronic illnesses. We wished to examine the effects of pre-transplant overweight and obesity on post-transplant physical HRQOL in kidney transplant recipients. Study Design: Patient-reported HRQOL data were systematically collected in kidney transplant recipients receiving post-transplant follow-up at Vanderbilt Transplant Center. Patients who received kidney transplants between 1998 and 2008, had at least 1 post-transplant physical component summary (PCS) measurement, and did not receive other solid organ transplants were included in this retrospective cohort study. Pre-transplant body mass index was stratified as normal, overweight, obese class I, and obese class II/extremely obese. HRQOL was measured primarily with the PCS scale of the Medical Outcomes Study Short Form 36 Health Survey. Multivariate linear and logistic regression models were used to test the effects of body mass index and demographic and clinical covariates on post-transplant HRQOL. Results: The study cohort included 464 adults (mean body mass index 27.5 ± 5.1; range 18.5 to 47.4). After controlling for gender (p = 0.148), pre-transplant dialysis (p = 0.003), previous kidney transplantation (p = 0.255), donor type (p = 0.455), steroid avoidance immunosuppression (p = 0.070), and follow-up time (p = 0.352), there was no effect of pre-transplant overweight or obesity on post-transplant PCS (all p ≥ 0.112). Kidney transplant recipients who did not require dialysis pre-transplant and those who were managed with steroid avoidance after transplantation were more likely to achieve post-transplant PCS scores at or above the general population average (both p ≤ 0.011). Conclusions: Pre-transplant overweight and obesity do not affect physical quality of life after kidney transplantation. © 2010 American College of Surgeons.","author":[{"dropping-particle":"","family":"Zaydfudim","given":"Victor","non-dropping-particle":"","parse-names":false,"suffix":""},{"dropping-particle":"","family":"Feurer","given":"Irene D.","non-dropping-particle":"","parse-names":false,"suffix":""},{"dropping-particle":"","family":"Moore","given":"Deonna R.","non-dropping-particle":"","parse-names":false,"suffix":""},{"dropping-particle":"","family":"Moore","given":"Derek E.","non-dropping-particle":"","parse-names":false,"suffix":""},{"dropping-particle":"","family":"Pinson","given":"C. Wright","non-dropping-particle":"","parse-names":false,"suffix":""},{"dropping-particle":"","family":"Shaffer","given":"David","non-dropping-particle":"","parse-names":false,"suffix":""}],"container-title":"Journal of the American College of Surgeons","id":"ITEM-2","issue":"3","issued":{"date-parts":[["2010"]]},"page":"336-344","publisher":"Elsevier Inc.","title":"Pre-transplant Overweight and Obesity Do Not Affect Physical Quality of Life after Kidney Transplantation","type":"article-journal","volume":"210"},"uris":["http://www.mendeley.com/documents/?uuid=6510b0e1-53d0-47d8-a505-16850ac2b7b2"]},{"id":"ITEM-3","itemData":{"DOI":"10.12659/AOT.912096","ISSN":"23290358","PMID":"30737367","abstract":"&lt;strong&gt;BACKGROUND&lt;/strong&gt; Being overweight for kidney transplant recipients can cause serious side effects. Weight gain affects two-thirds of kidney transplant recipients and has been attributed to a more liberal diet after transplantation, recovery of appetite due to lack of uremic toxicity, corticosteroid use, and inadequate lifestyle changes. The aim of this study was to assess gender-dependent profile of body mass index (BMI) changes after kidney transplantation (KTx). &lt;strong&gt;MATERIAL AND METHODS&lt;/strong&gt; Sixty-two kidney transplant recipients (38 males and 24 females), aged 46.0±12.8 years at KTx, were observed according to weight gain after KTx. BMI was calculated before transplantation (pre-KTx) and at 6, 12, and 24 months post-KTx. &lt;strong&gt;RESULTS&lt;/strong&gt; During the 24-month observation period, we found an increase in the incidence of kidney transplant recipients being overweight or obese (pre-KTx 43.5% increase and 24-month post-Ktx 61.3% increase, &lt;i&gt;P&lt;/i&gt;=0.036). We analyzed a number of factors that could potentially influence a 24-month BMI gain including age at KTx, gender, pre-KTx BMI, time on dialysis, pre-KTx glucose metabolism disorder, and post-KTx diabetes mellitus. For female recipients, there was a significant step-wise post-KTx increase in BMI during the 24-month observation period. The overall pre-KTx to 24-month net increase for female BMI was 2 times greater than that observed for male recipients (1.90±2.20 kg/m² versus 0.89±1.85 kg/m², &lt;i&gt;P&lt;/i&gt;&lt;0.001). &lt;strong&gt;CONCLUSIONS&lt;/strong&gt; Weight gain after KTx was observed in both sexes, but the net BMI increase was more than 2 times greater in females than in males at 24-months post-KTx. This indicated the need for diet education and strict weight control in kidney transplant recipients, especially in female patients.","author":[{"dropping-particle":"","family":"Hap","given":"Katarzyna","non-dropping-particle":"","parse-names":false,"suffix":""},{"dropping-particle":"","family":"Madziarska","given":"Katarzyna","non-dropping-particle":"","parse-names":false,"suffix":""},{"dropping-particle":"","family":"Hap","given":"Wojciech","non-dropping-particle":"","parse-names":false,"suffix":""},{"dropping-particle":"","family":"Zmonarski","given":"Sławomir","non-dropping-particle":"","parse-names":false,"suffix":""},{"dropping-particle":"","family":"Zielińska","given":"Dorota","non-dropping-particle":"","parse-names":false,"suffix":""},{"dropping-particle":"","family":"Kamińska","given":"Dorota","non-dropping-particle":"","parse-names":false,"suffix":""},{"dropping-particle":"","family":"Banasik","given":"Mirosław","non-dropping-particle":"","parse-names":false,"suffix":""},{"dropping-particle":"","family":"Kościelska-Kasprzak","given":"Katarzyna","non-dropping-particle":"","parse-names":false,"suffix":""},{"dropping-particle":"","family":"Klinger","given":"Marian","non-dropping-particle":"","parse-names":false,"suffix":""},{"dropping-particle":"","family":"Mazanowska","given":"Oktawia","non-dropping-particle":"","parse-names":false,"suffix":""}],"container-title":"Annals of transplantation","id":"ITEM-3","issued":{"date-parts":[["2019"]]},"page":"57-61","title":"Are Females More Prone Than Males to Become Obese After Kidney Transplantation?","type":"article-journal","volume":"24"},"uris":["http://www.mendeley.com/documents/?uuid=f0277282-7ed0-4530-91ef-40c1a58556f3"]}],"mendeley":{"formattedCitation":"&lt;sup&gt;19–21&lt;/sup&gt;","plainTextFormattedCitation":"19–21","previouslyFormattedCitation":"&lt;sup&gt;19–21&lt;/sup&gt;"},"properties":{"noteIndex":0},"schema":"https://github.com/citation-style-language/schema/raw/master/csl-citation.json"}</w:instrText>
      </w:r>
      <w:r>
        <w:fldChar w:fldCharType="separate"/>
      </w:r>
      <w:r w:rsidRPr="00D37D4E">
        <w:rPr>
          <w:noProof/>
          <w:vertAlign w:val="superscript"/>
        </w:rPr>
        <w:t>19–21</w:t>
      </w:r>
      <w:r>
        <w:fldChar w:fldCharType="end"/>
      </w:r>
      <w:r w:rsidRPr="00C7487E">
        <w:t xml:space="preserve">.  </w:t>
      </w:r>
    </w:p>
    <w:p w14:paraId="40C86EA6" w14:textId="77777777" w:rsidR="00A51E53" w:rsidRPr="00CA727E" w:rsidRDefault="00A51E53" w:rsidP="00A51E53">
      <w:pPr>
        <w:pStyle w:val="Heading3"/>
        <w:spacing w:before="0" w:after="160"/>
      </w:pPr>
      <w:bookmarkStart w:id="94" w:name="_Toc128330000"/>
      <w:r>
        <w:t>6.3</w:t>
      </w:r>
      <w:r w:rsidRPr="00CA727E">
        <w:t xml:space="preserve"> </w:t>
      </w:r>
      <w:r>
        <w:t xml:space="preserve">Weight loss </w:t>
      </w:r>
      <w:r w:rsidRPr="00CA727E">
        <w:t>where appropriate, using sustainable, personalised lifestyle changes</w:t>
      </w:r>
      <w:r>
        <w:t>.</w:t>
      </w:r>
      <w:bookmarkEnd w:id="94"/>
      <w:r>
        <w:t xml:space="preserve"> </w:t>
      </w:r>
    </w:p>
    <w:p w14:paraId="6449A07B" w14:textId="77777777" w:rsidR="00A51E53" w:rsidRDefault="00A51E53" w:rsidP="008D4BDF">
      <w:pPr>
        <w:spacing w:line="276" w:lineRule="auto"/>
        <w:jc w:val="both"/>
      </w:pPr>
      <w:r>
        <w:t xml:space="preserve">Prevention of weight gain post transplantation due to the associated clinical and health risks </w:t>
      </w:r>
      <w:r>
        <w:fldChar w:fldCharType="begin" w:fldLock="1"/>
      </w:r>
      <w:r>
        <w:instrText>ADDIN CSL_CITATION {"citationItems":[{"id":"ITEM-1","itemData":{"DOI":"10.1371/journal.pone.0268044","ISBN":"1111111111","ISSN":"19326203","PMID":"35653356","abstract":"Background Renal transplantation is the definitive treatment for patients with end-stage renal disease (ESRD). It is associated with better quality of life and patient survival. Nevertheless, these benefits come with rising concerns about weight gain and metabolic abnormalities, which adversely impact transplant outcomes. Objective The objective of this study is to estimate the incidence of weight gain in the first year post-renal transplant in addition to the assessment of potential risk factors and the resulting outcome of the graft. Methods We conducted a single-center retrospective cohort study of all 295 patients who underwent kidney transplantation at King Abdulaziz Medical City (KAMC) between January 2016 and December 2019. Clinical and laboratory variables were collected from electronic records. Continuous variables were reported as mean ± standard deviation. Comparison between groups was assessed by unpaired t-test or Mann-Whitney U test while follow-up data were compared using paired t-test and repeated measures ANOVA. Association between the potential risk factors and the weight gain was assessed by means of binary logistic regression analysis. Results Significant weight gain was observed in 161 (54.6%) patients. Females were 119 (40.30%) of the cohort. The mean age was 45.3±15.1 years. The prevalence of diabetes was 234 (79.6%), while hypertensives constituted 77 (26.3%). The comparison between patients who gained weight significantly and patients with stable weight showed a numerical higher prevalence of female gender in patients who had more weight gain (44.1% vs. 35.8%), higher diabetes, higher rate of a living donor, and statistically significant lower dialysis duration before transplant. Other clinical and laboratory variables were comparable between the two groups. Conclusion Our study showed a high incidence of clinically significant weight gain among patients post-renal transplantation. Patients with lower dialysis duration, a living kidney donor and those who are obese at baseline were at higher risk of gaining weight. Patients who underwent kidney transplantation should be monitored closely for weight gain and further studies are needed to determine the risk factors and appropriate interventions.","author":[{"dropping-particle":"","family":"Altheaby","given":"Abdulrahman","non-dropping-particle":"","parse-names":false,"suffix":""},{"dropping-particle":"","family":"Alajlan","given":"Nuha","non-dropping-particle":"","parse-names":false,"suffix":""},{"dropping-particle":"","family":"Shaheen","given":"Mohammed F.","non-dropping-particle":"","parse-names":false,"suffix":""},{"dropping-particle":"","family":"Abosamah","given":"Ghaleb","non-dropping-particle":"","parse-names":false,"suffix":""},{"dropping-particle":"","family":"Ghallab","given":"Basma","non-dropping-particle":"","parse-names":false,"suffix":""},{"dropping-particle":"","family":"Aldawsari","given":"Basayl","non-dropping-particle":"","parse-names":false,"suffix":""},{"dropping-particle":"","family":"Rashidi","given":"Awatif","non-dropping-particle":"","parse-names":false,"suffix":""},{"dropping-particle":"","family":"Gafar","given":"Mohammed","non-dropping-particle":"","parse-names":false,"suffix":""},{"dropping-particle":"","family":"Arabi","given":"Ziad","non-dropping-particle":"","parse-names":false,"suffix":""}],"container-title":"PLoS ONE","id":"ITEM-1","issue":"6 June","issued":{"date-parts":[["2022"]]},"page":"1-10","title":"Weight gain after renal transplant: Incidence, risk factors, and outcomes","type":"article-journal","volume":"17"},"uris":["http://www.mendeley.com/documents/?uuid=eb014385-83f0-46ab-9b86-bb389180adde"]}],"mendeley":{"formattedCitation":"&lt;sup&gt;22&lt;/sup&gt;","plainTextFormattedCitation":"22","previouslyFormattedCitation":"&lt;sup&gt;22&lt;/sup&gt;"},"properties":{"noteIndex":0},"schema":"https://github.com/citation-style-language/schema/raw/master/csl-citation.json"}</w:instrText>
      </w:r>
      <w:r>
        <w:fldChar w:fldCharType="separate"/>
      </w:r>
      <w:r w:rsidRPr="00D37D4E">
        <w:rPr>
          <w:noProof/>
          <w:vertAlign w:val="superscript"/>
        </w:rPr>
        <w:t>22</w:t>
      </w:r>
      <w:r>
        <w:fldChar w:fldCharType="end"/>
      </w:r>
      <w:r>
        <w:t xml:space="preserve"> is preferable to weight loss interventions post transplantation (i.e. prevention rather than cure).  However, in situations where weight gain does occur, lifestyle interventions can be useful.  A recent Cochrane review on weight loss interventions for people who are overweight or obese with chronic kidney disease (which included a small number of studies in people with a  renal transplant) found that “lifestyle-based weight loss interventions may result in weight loss and may have positive effects on diastolic blood pressure and low-density lipoprotein (LDL) cholesterol” </w:t>
      </w:r>
      <w:r>
        <w:fldChar w:fldCharType="begin" w:fldLock="1"/>
      </w:r>
      <w:r>
        <w:instrText>ADDIN CSL_CITATION {"citationItems":[{"id":"ITEM-1","itemData":{"DOI":"10.1002/14651858.CD013119.pub2","ISSN":"14651858","PMID":"33782940","abstract":"Background: Obesity and chronic kidney disease (CKD) are highly prevalent worldwide and result in substantial health care costs. Obesity is a predictor of incident CKD and progression to kidney failure. Whether weight loss interventions are safe and effective to impact on disease progression and clinical outcomes, such as death remains unclear. Objectives: This review aimed to evaluate the safety and efficacy of intentional weight loss interventions in overweight and obese adults with CKD; including those with end-stage kidney disease (ESKD) being treated with dialysis, kidney transplantation, or supportive care. Search methods: We searched the Cochrane Kidney and Transplant Register of Studies up to 14 December 2020 through contact with the Information Specialist using search terms relevant to this review. Studies in the Register are identified through searches of CENTRAL, MEDLINE, EMBASE, conference proceedings, the International Clinical Trials Register (ICTRP) Search Portal and ClinicalTrials.gov. Selection criteria: Randomised controlled trials (RCTs) and quasi-RCTs of more than four weeks duration, reporting on intentional weight loss interventions, in individuals with any stage of CKD, designed to promote weight loss as one of their primary stated goals, in any health care setting. Data collection and analysis: Two authors independently assessed study eligibility and extracted data. We applied the Cochrane 'Risk of Bias' tool and used the GRADE process to assess the certainty of evidence. We estimated treatment effects using random-effects meta-analysis. Results were expressed as risk ratios (RR) for dichotomous outcomes together with 95% confidence intervals (CI) or mean differences (MD) or standardised mean difference (SMD) for continuous outcomes or in descriptive format when meta-analysis was not possible. Main results: We included 17 RCTs enrolling 988 overweight or obese adults with CKD. The weight loss interventions and comparators across studies varied. We categorised comparisons into three groups: any weight loss intervention versus usual care or control; any weight loss intervention versus dietary intervention; and surgical intervention versus non-surgical intervention. Methodological quality was varied, with many studies providing insufficient information to accurately judge the risk of bias. Death (any cause), cardiovascular events, successful kidney transplantation, nutritional status, cost effectiveness and economic analysis were no…","author":[{"dropping-particle":"","family":"Conley","given":"Marguerite M.","non-dropping-particle":"","parse-names":false,"suffix":""},{"dropping-particle":"","family":"McFarlane","given":"Catherine M.","non-dropping-particle":"","parse-names":false,"suffix":""},{"dropping-particle":"","family":"Johnson","given":"David W.","non-dropping-particle":"","parse-names":false,"suffix":""},{"dropping-particle":"","family":"Kelly","given":"Jaimon T.","non-dropping-particle":"","parse-names":false,"suffix":""},{"dropping-particle":"","family":"Campbell","given":"Katrina L.","non-dropping-particle":"","parse-names":false,"suffix":""},{"dropping-particle":"","family":"MacLaughlin","given":"Helen L.","non-dropping-particle":"","parse-names":false,"suffix":""}],"container-title":"Cochrane Database of Systematic Reviews","id":"ITEM-1","issue":"3","issued":{"date-parts":[["2021"]]},"title":"Interventions for weight loss in people with chronic kidney disease who are overweight or obese","type":"article-journal","volume":"2021"},"uris":["http://www.mendeley.com/documents/?uuid=3994998f-dde1-411a-b3e3-97567499b49f"]}],"mendeley":{"formattedCitation":"&lt;sup&gt;23&lt;/sup&gt;","plainTextFormattedCitation":"23","previouslyFormattedCitation":"&lt;sup&gt;23&lt;/sup&gt;"},"properties":{"noteIndex":0},"schema":"https://github.com/citation-style-language/schema/raw/master/csl-citation.json"}</w:instrText>
      </w:r>
      <w:r>
        <w:fldChar w:fldCharType="separate"/>
      </w:r>
      <w:r w:rsidRPr="00D37D4E">
        <w:rPr>
          <w:noProof/>
          <w:vertAlign w:val="superscript"/>
        </w:rPr>
        <w:t>23</w:t>
      </w:r>
      <w:r>
        <w:fldChar w:fldCharType="end"/>
      </w:r>
      <w:r>
        <w:t xml:space="preserve">.  </w:t>
      </w:r>
    </w:p>
    <w:p w14:paraId="779E8824" w14:textId="77777777" w:rsidR="00A51E53" w:rsidRDefault="00A51E53" w:rsidP="008D4BDF">
      <w:pPr>
        <w:spacing w:line="276" w:lineRule="auto"/>
        <w:jc w:val="both"/>
      </w:pPr>
      <w:r>
        <w:t xml:space="preserve">The randomised studies described here span over one to two years with variable success in relation to weight loss, which often was a surrogate outcome for improvement in cardio-metabolic risk factors. Orazio et al demonstrated a trend towards weight loss in a randomised study with a lifestyle intervention (Mediterranean and calorie deficit diet and physical activity) delivered over two years to people living with a kidney transplant, by a dietitian.  However, there was no impact of or change in physical activity, potentially due to the lack of skills of the dietitian in advising on integrating physical </w:t>
      </w:r>
      <w:r>
        <w:lastRenderedPageBreak/>
        <w:t xml:space="preserve">activity into lifestyle </w:t>
      </w:r>
      <w:r>
        <w:fldChar w:fldCharType="begin" w:fldLock="1"/>
      </w:r>
      <w:r>
        <w:instrText>ADDIN CSL_CITATION {"citationItems":[{"id":"ITEM-1","itemData":{"DOI":"10.1053/J.JRN.2010.12.002","ISSN":"1051-2276","PMID":"21454091","abstract":"Objective: To investigate the effect of dietitian involvement in a multidisciplinary lifestyle intervention comparing risk factor modification for cardiovascular disease with standard posttransplant care in renal transplant recipients (RTR) with abnormal glucose tolerance (AGT). Design: Randomized controlled trial. Setting: Hospital outpatient department. Patients: Adult RTR with AGT. Intervention: RTR with AGT were randomized to a lifestyle intervention that consisted of either regular consultations with the dietitian and multidisciplinary team or standard care. Main Outcome Measures: Dietary intake, physical activity (PA) levels, cardiorespiratory fitness (CF), and anthropometry. Results: Total fat and percent saturated fat intake rates were significantly lower in the intervention group as compared with the control group at 2-year follow-up, 54 g (16 to 105 g) versus 65 g (34 to 118 g), P = .01 and 10% (5% to 17%) versus 13% (4% to 20%), P = .05., respectively. There was a trend for an overweight (but not obese) individual to lose more weight in the intervention group (4% loss vs. a gain of 0.25% at the 2-year follow-up). Overall, RTR were significantly less fit than age- and gender-matched controls, mean peak oxygen uptake was 19.42 ± 7.09 mL/kg per minute versus 28.35 ± 8.80 mL/kg per minute, P = .000. Simple exercise advice was not associated with any improvement in total PA or CF in either group at the 2-year follow-up. Conclusion: Dietary advice can contribute to healthier eating habits and a trend for weight loss in RTR with AGT. These improvements in conjunction with multidisciplinary care and pharmacological treatment can lead to improvements in cardiovascular risk factors such as lipid profile. Simple advice to increase PA was not effective in improving CF and other measures are needed. © 2011.","author":[{"dropping-particle":"","family":"Orazio","given":"Linda K.","non-dropping-particle":"","parse-names":false,"suffix":""},{"dropping-particle":"","family":"Isbel","given":"Nicole M.","non-dropping-particle":"","parse-names":false,"suffix":""},{"dropping-particle":"","family":"Armstrong","given":"Kirsten A.","non-dropping-particle":"","parse-names":false,"suffix":""},{"dropping-particle":"","family":"Tarnarskyj","given":"Jodie","non-dropping-particle":"","parse-names":false,"suffix":""},{"dropping-particle":"","family":"Johnson","given":"David W.","non-dropping-particle":"","parse-names":false,"suffix":""},{"dropping-particle":"","family":"Hale","given":"Rachael E.","non-dropping-particle":"","parse-names":false,"suffix":""},{"dropping-particle":"","family":"Kaisar","given":"Mohamed","non-dropping-particle":"","parse-names":false,"suffix":""},{"dropping-particle":"","family":"Banks","given":"Merrilyn D.","non-dropping-particle":"","parse-names":false,"suffix":""},{"dropping-particle":"","family":"Hickman","given":"Ingrid J.","non-dropping-particle":"","parse-names":false,"suffix":""}],"container-title":"Journal of Renal Nutrition","id":"ITEM-1","issue":"6","issued":{"date-parts":[["2011","11","1"]]},"page":"462-471","publisher":"W.B. Saunders","title":"Evaluation of Dietetic Advice for Modification of Cardiovascular Disease Risk Factors in Renal Transplant Recipients","type":"article-journal","volume":"21"},"uris":["http://www.mendeley.com/documents/?uuid=6576778d-8a07-3dad-ad6a-db95580a1739"]}],"mendeley":{"formattedCitation":"&lt;sup&gt;24&lt;/sup&gt;","plainTextFormattedCitation":"24","previouslyFormattedCitation":"&lt;sup&gt;24&lt;/sup&gt;"},"properties":{"noteIndex":0},"schema":"https://github.com/citation-style-language/schema/raw/master/csl-citation.json"}</w:instrText>
      </w:r>
      <w:r>
        <w:fldChar w:fldCharType="separate"/>
      </w:r>
      <w:r w:rsidRPr="00D37D4E">
        <w:rPr>
          <w:noProof/>
          <w:vertAlign w:val="superscript"/>
        </w:rPr>
        <w:t>24</w:t>
      </w:r>
      <w:r>
        <w:fldChar w:fldCharType="end"/>
      </w:r>
      <w:r>
        <w:t xml:space="preserve">.  Henggeller et al conducted a randomised study (n=37) comparing an intensive weight management programme versus standard care with outcomes assessed after 6 months and found </w:t>
      </w:r>
      <w:r>
        <w:rPr>
          <w:rFonts w:cstheme="minorHAnsi"/>
          <w:color w:val="212121"/>
        </w:rPr>
        <w:t>w</w:t>
      </w:r>
      <w:r w:rsidRPr="008B203D">
        <w:rPr>
          <w:rFonts w:cstheme="minorHAnsi"/>
          <w:color w:val="212121"/>
        </w:rPr>
        <w:t>eight increased in both groups and no between-group differences were observed in the primary or any secondary outcomes</w:t>
      </w:r>
      <w:r>
        <w:rPr>
          <w:rFonts w:cstheme="minorHAnsi"/>
          <w:color w:val="212121"/>
        </w:rPr>
        <w:t xml:space="preserve"> </w:t>
      </w:r>
      <w:r>
        <w:t xml:space="preserve">(although standard care had a relatively high intensity input) </w:t>
      </w:r>
      <w:r>
        <w:fldChar w:fldCharType="begin" w:fldLock="1"/>
      </w:r>
      <w:r>
        <w:instrText>ADDIN CSL_CITATION {"citationItems":[{"id":"ITEM-1","itemData":{"DOI":"10.1053/j.jrn.2018.03.001","ISSN":"10512276","PMID":"29729825","abstract":"Objective: Excessive weight gain is common after kidney transplantation and increases cardiovascular risk. The aim of this randomized controlled trial was to determine whether an intensive nutrition and exercise intervention delivered alongside routine post-transplant care would reduce post-transplant weight gain. Design: Single-blind, randomized controlled trial. Subjects and Setting: Adult kidney transplant recipients at a regional transplant center were recruited during routine outpatient clinic visits in the first month after transplant. Patients with a body mass index &gt;40 kg/m2 or &lt;18.5 kg/m2, severe malnutrition, or ongoing medical complications were excluded. Intervention: Participants were randomized to intensive nutrition intervention (individualized nutrition and exercise counselling; 12 dietitian visits; 3 exercise physiologist visits over 12 months) or to standard nutrition care (guideline based; 4 dietitian visits). Main outcome measures: The primary outcome was weight at 6 months after transplant adjusted for baseline weight, obesity, and gender, analyzed using analysis of covariance. The secondary outcomes included body composition, biochemistry, quality of life, and physical function. Results: Thirty-seven participants were randomized to the intensive intervention (n = 19) or to standard care (n = 18); one intensive group participant withdrew before baseline. Weight increased between baseline, 6 and 12 months (78.0 ± 13.7 [standard deviation], 79.6 ± 13.0 kg, 81.6 ± 12.9 kg; mean change 4.6% P &lt;.001) but at 6 months did not differ significantly between the groups: 77.0 ± 12.4 kg (intensive); 82.2 ± 13.4 kg (standard); difference in adjusted means 0.4 kg (95% confidence interval: −2.2 to 3.0 kg); analysis of covariance P =.7. No between-group differences in secondary outcomes were observed. Across the whole cohort, total body protein and physical function (gait speed, sit to stand, grip strength, physical activity, and quality of life [all but 2 domains]) improved. However, adverse changes were seen for total body fat, HbA1c, and fasting glucose across the cohort. Conclusions: Kidney transplant recipients in the first year after transplant did not benefit from an intensive nutrition intervention compared with standard nutrition care, although weight gain was relatively modest in both groups.","author":[{"dropping-particle":"","family":"Henggeler","given":"Cordula K.","non-dropping-particle":"","parse-names":false,"suffix":""},{"dropping-particle":"","family":"Plank","given":"Lindsay D.","non-dropping-particle":"","parse-names":false,"suffix":""},{"dropping-particle":"","family":"Ryan","given":"Kristin J.","non-dropping-particle":"","parse-names":false,"suffix":""},{"dropping-particle":"","family":"Gilchrist","given":"Emily L.","non-dropping-particle":"","parse-names":false,"suffix":""},{"dropping-particle":"","family":"Casas","given":"Jessie M.","non-dropping-particle":"","parse-names":false,"suffix":""},{"dropping-particle":"","family":"Lloyd","given":"Lyn E.","non-dropping-particle":"","parse-names":false,"suffix":""},{"dropping-particle":"","family":"Mash","given":"Laura E.","non-dropping-particle":"","parse-names":false,"suffix":""},{"dropping-particle":"","family":"McLellan","given":"Sandra L.","non-dropping-particle":"","parse-names":false,"suffix":""},{"dropping-particle":"","family":"Robb","given":"Jennifer M.","non-dropping-particle":"","parse-names":false,"suffix":""},{"dropping-particle":"","family":"Collins","given":"Michael G.","non-dropping-particle":"","parse-names":false,"suffix":""}],"container-title":"Journal of Renal Nutrition","id":"ITEM-1","issue":"5","issued":{"date-parts":[["2018"]]},"page":"340-351","publisher":"The Authors","title":"A Randomized Controlled Trial of an Intensive Nutrition Intervention Versus Standard Nutrition Care to Avoid Excess Weight Gain After Kidney Transplantation: The INTENT Trial","type":"article-journal","volume":"28"},"uris":["http://www.mendeley.com/documents/?uuid=b5b05e08-6ac8-4da5-bf94-f18207d40ad7"]}],"mendeley":{"formattedCitation":"&lt;sup&gt;25&lt;/sup&gt;","plainTextFormattedCitation":"25","previouslyFormattedCitation":"&lt;sup&gt;25&lt;/sup&gt;"},"properties":{"noteIndex":0},"schema":"https://github.com/citation-style-language/schema/raw/master/csl-citation.json"}</w:instrText>
      </w:r>
      <w:r>
        <w:fldChar w:fldCharType="separate"/>
      </w:r>
      <w:r w:rsidRPr="00D37D4E">
        <w:rPr>
          <w:noProof/>
          <w:vertAlign w:val="superscript"/>
        </w:rPr>
        <w:t>25</w:t>
      </w:r>
      <w:r>
        <w:fldChar w:fldCharType="end"/>
      </w:r>
      <w:r>
        <w:t xml:space="preserve">.  Tzvetanov’s small study was unique in using behavioural interventions (including cognitive behavioural techniques and motivational interviewing) alongside nutritional and physical activity support over 12 months in a small sample of people with obesity post transplantation </w:t>
      </w:r>
      <w:r>
        <w:fldChar w:fldCharType="begin" w:fldLock="1"/>
      </w:r>
      <w:r>
        <w:instrText>ADDIN CSL_CITATION {"citationItems":[{"id":"ITEM-1","itemData":{"DOI":"10.1016/j.transproceed.2014.05.085","ISSN":"18732623","PMID":"25498067","abstract":"Introduction. Physical rehabilitation programs for kidney transplant recipients are not routinely personalized to patients' physical and emotional health, which could result in a potentially limited health impact, shorter-term participation, and an overall low success rate. Materials and Methods. We conducted an internal review boardeapproved randomized prospective study involving a 12-month supervised multidisciplinary rehabilitation program (GH method) initiated after kidney transplantation in obese recipients (body mass index &gt;30). The new method incorporates 3 major components: physical exercise, behavioral interventions, and nutritional guidance. We compared 9 patients who underwent supervised rehabilitation with 8 patients who underwent standard care. Patients were followed up after the start of the intervention, and multiple assessments were performed. Results. The adherence to training and follow-up was 100% in the intervention group, compared with 25% at 12 months in the control group. There was a trend for a higher glomerular filtration rate in the intervention group compared with the control group (55.5 ± 18.6 mL/min/1.73 m2 vs 38.8 ± 18.9 mL/min/1.73 m2, P = .06). The quality of life (SF-36) mean score improved more in the intervention group compared with the control group (583 ± 13 vs 436 ± 22, P = .008). There was a significantly higher employment rate in the intervention group, 77.7% at 12 months compared with 12.5% in the control group (P = .02). Conclusions. Our preliminary results suggest that this comprehensive approach to physical rehabilitation can improve adherence, kidney function, quality of life, and employment rate for obese patients after kidney transplantation.","author":[{"dropping-particle":"","family":"Tzvetanov","given":"I.","non-dropping-particle":"","parse-names":false,"suffix":""},{"dropping-particle":"","family":"West-Thielke","given":"P.","non-dropping-particle":"","parse-names":false,"suffix":""},{"dropping-particle":"","family":"D'Amico","given":"G.","non-dropping-particle":"","parse-names":false,"suffix":""},{"dropping-particle":"","family":"Johnsen","given":"M.","non-dropping-particle":"","parse-names":false,"suffix":""},{"dropping-particle":"","family":"Ladik","given":"A.","non-dropping-particle":"","parse-names":false,"suffix":""},{"dropping-particle":"","family":"Hachaj","given":"G.","non-dropping-particle":"","parse-names":false,"suffix":""},{"dropping-particle":"","family":"Grazman","given":"M.","non-dropping-particle":"","parse-names":false,"suffix":""},{"dropping-particle":"","family":"Heller","given":"R. U.","non-dropping-particle":"","parse-names":false,"suffix":""},{"dropping-particle":"","family":"Fernhall","given":"B.","non-dropping-particle":"","parse-names":false,"suffix":""},{"dropping-particle":"","family":"Daviglus","given":"M. L.","non-dropping-particle":"","parse-names":false,"suffix":""},{"dropping-particle":"","family":"Solaro","given":"R. J.","non-dropping-particle":"","parse-names":false,"suffix":""},{"dropping-particle":"","family":"Oberholzer","given":"J.","non-dropping-particle":"","parse-names":false,"suffix":""},{"dropping-particle":"","family":"Gallon","given":"L.","non-dropping-particle":"","parse-names":false,"suffix":""},{"dropping-particle":"","family":"Benedetti","given":"E.","non-dropping-particle":"","parse-names":false,"suffix":""}],"container-title":"Transplantation Proceedings","id":"ITEM-1","issue":"10","issued":{"date-parts":[["2014"]]},"page":"3431-3437","publisher":"Elsevier Inc","title":"A novel and personalized rehabilitation program for obese kidney transplant recipients","type":"article-journal","volume":"46"},"uris":["http://www.mendeley.com/documents/?uuid=f2981f3a-fdd8-462b-9135-d31dceb59d63"]}],"mendeley":{"formattedCitation":"&lt;sup&gt;26&lt;/sup&gt;","plainTextFormattedCitation":"26","previouslyFormattedCitation":"&lt;sup&gt;26&lt;/sup&gt;"},"properties":{"noteIndex":0},"schema":"https://github.com/citation-style-language/schema/raw/master/csl-citation.json"}</w:instrText>
      </w:r>
      <w:r>
        <w:fldChar w:fldCharType="separate"/>
      </w:r>
      <w:r w:rsidRPr="00D37D4E">
        <w:rPr>
          <w:noProof/>
          <w:vertAlign w:val="superscript"/>
        </w:rPr>
        <w:t>26</w:t>
      </w:r>
      <w:r>
        <w:fldChar w:fldCharType="end"/>
      </w:r>
      <w:r>
        <w:t xml:space="preserve">.  The most impressive result from this study was that the intervention had 100% retention compared to only 25% in the control group which might be due to the personalisation and behavioural focus of the programme. However, the sample size was small.  </w:t>
      </w:r>
    </w:p>
    <w:p w14:paraId="17D9B7C7" w14:textId="77777777" w:rsidR="00A51E53" w:rsidRDefault="00A51E53" w:rsidP="008D4BDF">
      <w:pPr>
        <w:spacing w:line="276" w:lineRule="auto"/>
        <w:jc w:val="both"/>
      </w:pPr>
      <w:r>
        <w:t xml:space="preserve">A single centre randomised study comparing the effects of an active </w:t>
      </w:r>
      <w:r w:rsidRPr="008B203D">
        <w:rPr>
          <w:rFonts w:cstheme="minorHAnsi"/>
          <w:color w:val="212121"/>
        </w:rPr>
        <w:t>(lifestyle advice delivered by renal dietitians using behaviour change techniques)</w:t>
      </w:r>
      <w:r>
        <w:rPr>
          <w:rFonts w:cstheme="minorHAnsi"/>
          <w:color w:val="212121"/>
        </w:rPr>
        <w:t xml:space="preserve"> </w:t>
      </w:r>
      <w:r>
        <w:t xml:space="preserve">versus passive intervention </w:t>
      </w:r>
      <w:r w:rsidRPr="008B203D">
        <w:rPr>
          <w:rFonts w:cstheme="minorHAnsi"/>
          <w:color w:val="212121"/>
        </w:rPr>
        <w:t>(leaflet advice alone)</w:t>
      </w:r>
      <w:r>
        <w:t xml:space="preserve"> with kidney transplant recipients without diabetes found no change in surrogate markers of glucose metabolism </w:t>
      </w:r>
      <w:r>
        <w:rPr>
          <w:rFonts w:cstheme="minorHAnsi"/>
          <w:color w:val="212121"/>
        </w:rPr>
        <w:t xml:space="preserve">over 6 months </w:t>
      </w:r>
      <w:r>
        <w:t xml:space="preserve">(primary outcome), despite improvements in weight and fat mass and a  trend towards fewer cases of post-transplant diabetes </w:t>
      </w:r>
      <w:r>
        <w:fldChar w:fldCharType="begin" w:fldLock="1"/>
      </w:r>
      <w:r>
        <w:instrText>ADDIN CSL_CITATION {"citationItems":[{"id":"ITEM-1","itemData":{"DOI":"10.1097/TP.0000000000002969","ISBN":"0000000000","ISSN":"00411337","PMID":"31568390","abstract":"Background. New-onset diabetes is common after kidney transplantation, but the benefit of lifestyle intervention to improve glucose metabolism posttransplantation is unproven. Methods. We conducted a single-center, randomized controlled trial involving 130 nondiabetic kidney transplant recipients with stable function between 3 and 24 months post-transplantation. Participants were randomly assigned in a 1:1 ratio to receive active intervention (lifestyle advice delivered by renal dietitians using behavior change techniques) versus passive intervention (leaflet advice alone). Primary outcome was 6-month change in insulin secretion, insulin sensitivity, and disposition index. Secondary outcomes included patient-reported outcomes, cardiometabolic parameters, clinical outcomes, and safety endpoints. Results. Between August 17, 2015 and December 18, 2017, 130 individuals were recruited, of whom 103 completed the study (drop-out rate 20.8%). Active versus passive intervention was not associated with any change in glucose metabolism: insulin secretion (mean difference, -446; 95% confidence interval [CI], -3184 to 2292; P = 0.748), insulin sensitivity (mean difference, -0.45; 95% CI, -1.34 to 0.44; P = 0.319), or disposition index (mean difference, -940; 95% CI, -5655 to 3775; P = 0.693). Clinically, active versus passive lifestyle intervention resulted in reduced incidence of posttransplantation diabetes (7.6% versus 15.6%, respectively, P = 0.123), reduction in fat mass (mean difference, -1.537 kg; 95% CI, -2.947 to -0.127; P = 0.033), and improvement in weight (mean difference, -2.47 kg; 95% CI, -4.01 to -0.92; P = 0.002). No serious adverse events were noted. Conclusions. Active lifestyle intervention led by renal dietitians did not improve surrogate markers of glucose metabolism. Further investigation is warranted to determine if clinical outcomes can be improved using this methodology.","author":[{"dropping-particle":"","family":"Kuningas","given":"Kulli","non-dropping-particle":"","parse-names":false,"suffix":""},{"dropping-particle":"","family":"Driscoll","given":"Joanne","non-dropping-particle":"","parse-names":false,"suffix":""},{"dropping-particle":"","family":"Mair","given":"Reena","non-dropping-particle":"","parse-names":false,"suffix":""},{"dropping-particle":"","family":"Smith","given":"Helen","non-dropping-particle":"","parse-names":false,"suffix":""},{"dropping-particle":"","family":"Dutton","given":"Mary","non-dropping-particle":"","parse-names":false,"suffix":""},{"dropping-particle":"","family":"Day","given":"Edward","non-dropping-particle":"","parse-names":false,"suffix":""},{"dropping-particle":"","family":"Sharif","given":"Adnan","non-dropping-particle":"","parse-names":false,"suffix":""},{"dropping-particle":"","family":"Sharif","given":"Adnan","non-dropping-particle":"","parse-names":false,"suffix":""}],"container-title":"Transplantation","id":"ITEM-1","issue":"7","issued":{"date-parts":[["2020"]]},"page":"1491-1499","title":"Comparing glycaemic benefits of active versus passive lifestyle intervention in kidney allograft recipients: A randomized controlled trial","type":"article-journal","volume":"104"},"uris":["http://www.mendeley.com/documents/?uuid=ce372b12-f68d-454b-93c7-2cff170abff3"]}],"mendeley":{"formattedCitation":"&lt;sup&gt;27&lt;/sup&gt;","plainTextFormattedCitation":"27","previouslyFormattedCitation":"&lt;sup&gt;27&lt;/sup&gt;"},"properties":{"noteIndex":0},"schema":"https://github.com/citation-style-language/schema/raw/master/csl-citation.json"}</w:instrText>
      </w:r>
      <w:r>
        <w:fldChar w:fldCharType="separate"/>
      </w:r>
      <w:r w:rsidRPr="00D37D4E">
        <w:rPr>
          <w:noProof/>
          <w:vertAlign w:val="superscript"/>
        </w:rPr>
        <w:t>27</w:t>
      </w:r>
      <w:r>
        <w:fldChar w:fldCharType="end"/>
      </w:r>
      <w:r>
        <w:t xml:space="preserve">.  Six months may be too short a timeframe to result in a significant change in the primary outcome.  In a follow up study </w:t>
      </w:r>
      <w:r>
        <w:fldChar w:fldCharType="begin" w:fldLock="1"/>
      </w:r>
      <w:r>
        <w:instrText>ADDIN CSL_CITATION {"citationItems":[{"id":"ITEM-1","itemData":{"author":[{"dropping-particle":"","family":"Kuningas, K.; Driscoll J.;Mair, R.;Day E.;Sharif","given":"A.","non-dropping-particle":"","parse-names":false,"suffix":""}],"container-title":"American Journal of Kidney Diseases","id":"ITEM-1","issued":{"date-parts":[["2022"]]},"title":"Short-term Healthy Lifestyle Intervention and Long-term Behavior Change After Kidney Transplantation: Findings From the CAVIAR Study","type":"article-journal","volume":"Pre-proof"},"uris":["http://www.mendeley.com/documents/?uuid=9f4c402c-a9f5-4d2c-93c3-e427f587b279"]}],"mendeley":{"formattedCitation":"&lt;sup&gt;28&lt;/sup&gt;","plainTextFormattedCitation":"28","previouslyFormattedCitation":"&lt;sup&gt;28&lt;/sup&gt;"},"properties":{"noteIndex":0},"schema":"https://github.com/citation-style-language/schema/raw/master/csl-citation.json"}</w:instrText>
      </w:r>
      <w:r>
        <w:fldChar w:fldCharType="separate"/>
      </w:r>
      <w:r w:rsidRPr="00D37D4E">
        <w:rPr>
          <w:noProof/>
          <w:vertAlign w:val="superscript"/>
        </w:rPr>
        <w:t>28</w:t>
      </w:r>
      <w:r>
        <w:fldChar w:fldCharType="end"/>
      </w:r>
      <w:r>
        <w:t>, 2.5 years after the study was completed, any metabolic improvements were lost with no weight difference observed between active or passive intervention groups. This data suggests any impact from behaviour change must be reinforced continuously or periodically rather than a one-off intervention.</w:t>
      </w:r>
    </w:p>
    <w:p w14:paraId="166C19F3" w14:textId="77777777" w:rsidR="00A51E53" w:rsidRDefault="00A51E53" w:rsidP="008D4BDF">
      <w:pPr>
        <w:spacing w:line="276" w:lineRule="auto"/>
        <w:jc w:val="both"/>
        <w:rPr>
          <w:rFonts w:cstheme="minorHAnsi"/>
        </w:rPr>
      </w:pPr>
      <w:r>
        <w:rPr>
          <w:rFonts w:cstheme="minorHAnsi"/>
        </w:rPr>
        <w:t>In summary, while lifestyle modification advice to kidney transplant patients remains a core part of post-transplant management, the evidence base for the efficacy of different lifestyle interventions on weight loss and therefore cardio-metabolic benefit is poor</w:t>
      </w:r>
      <w:r>
        <w:t xml:space="preserve">.  </w:t>
      </w:r>
      <w:r>
        <w:rPr>
          <w:rFonts w:cstheme="minorHAnsi"/>
        </w:rPr>
        <w:t xml:space="preserve">In addition, no specific targeted studies have been conducted in the failing kidney transplant setting. </w:t>
      </w:r>
      <w:r>
        <w:t xml:space="preserve"> </w:t>
      </w:r>
      <w:r>
        <w:rPr>
          <w:rFonts w:cstheme="minorHAnsi"/>
        </w:rPr>
        <w:t xml:space="preserve">There are some indicators that may contribute to the effectiveness of interventions: these should include a behavioural change component as well as a defined style of or approach to communication of advice and </w:t>
      </w:r>
      <w:r>
        <w:t xml:space="preserve">sustainability of outcomes should extend beyond 6-12 months which is critical when living with a chronic condition. </w:t>
      </w:r>
      <w:r>
        <w:rPr>
          <w:rFonts w:cstheme="minorHAnsi"/>
        </w:rPr>
        <w:t xml:space="preserve"> </w:t>
      </w:r>
    </w:p>
    <w:p w14:paraId="4C2C2BC9" w14:textId="77777777" w:rsidR="00A51E53" w:rsidRDefault="00A51E53" w:rsidP="00A51E53">
      <w:pPr>
        <w:pStyle w:val="Heading3"/>
        <w:spacing w:before="0" w:after="160"/>
      </w:pPr>
      <w:bookmarkStart w:id="95" w:name="_Toc128330001"/>
      <w:r>
        <w:t>6</w:t>
      </w:r>
      <w:r w:rsidRPr="00D60E09">
        <w:t xml:space="preserve">.4 </w:t>
      </w:r>
      <w:r>
        <w:t>L</w:t>
      </w:r>
      <w:r w:rsidRPr="00D60E09">
        <w:t>imit</w:t>
      </w:r>
      <w:r>
        <w:t>ation of</w:t>
      </w:r>
      <w:r w:rsidRPr="00D60E09">
        <w:t xml:space="preserve"> salt intake</w:t>
      </w:r>
      <w:bookmarkEnd w:id="95"/>
      <w:r w:rsidRPr="00D60E09">
        <w:t xml:space="preserve"> </w:t>
      </w:r>
    </w:p>
    <w:p w14:paraId="559893D0" w14:textId="77777777" w:rsidR="00A51E53" w:rsidRPr="00CE3345" w:rsidRDefault="00A51E53" w:rsidP="008D4BDF">
      <w:pPr>
        <w:spacing w:line="276" w:lineRule="auto"/>
        <w:jc w:val="both"/>
      </w:pPr>
      <w:r>
        <w:t xml:space="preserve">The recommendations supporting limiting salt consumption for people with a kidney transplant to reduce blood pressure are based on two randomised studies </w:t>
      </w:r>
      <w:r>
        <w:fldChar w:fldCharType="begin" w:fldLock="1"/>
      </w:r>
      <w:r>
        <w:instrText>ADDIN CSL_CITATION {"citationItems":[{"id":"ITEM-1","itemData":{"DOI":"10.1053/j.ajkd.2015.11.026","ISSN":"15236838","PMID":"26803690","abstract":"Background In patients with chronic kidney disease receiving renin-angiotensin-aldosterone system (RAAS) blockade, dietary sodium restriction is an often-used treatment strategy to reduce blood pressure (BP) and albuminuria. Whether these effects extend to kidney transplant recipients is unknown. We therefore studied the effects of dietary sodium restriction on BP and urinary albumin excretion (UAE) in kidney transplant recipients receiving RAAS blockade. Study Design Two-center randomized crossover trial. Setting &amp; Participants Stable outpatient kidney transplant recipients with creatinine clearance &gt; 30 mL/min, BP ≥ 120/80 mm Hg, receiving stable RAAS blockade therapy. Intervention 6-week regular-sodium diet (target, 150 mmol/24 h) and a 6-week low-sodium diet (target, 50 mmol/24 h). Outcomes &amp; Measurements Main outcome parameters were systolic and diastolic BP, UAE, and estimated glomerular filtration rate (eGFR) at the end of each diet period. Dietary adherence was assessed by 24-hour urinary sodium excretion. Results We randomly assigned 23 kidney transplant recipients, of whom 22 (mean age, 58 ± 8 [SD] years; 50% men; mean eGFR, 51 ± 21 mL/min/1.73 m2) completed the study. One patient withdrew from the study because of concerns regarding orthostatic hypotension on the low-sodium diet. Sodium excretion decreased from 164 ± 50 mmol/24 h during the regular-sodium diet to 87 ± 55 mmol/24 h during the low-sodium diet (mean difference, -77 [95% CI, -110 to -44] mmol/24 h; P &lt; 0.001). Sodium restriction significantly reduced systolic BP from 140 ± 14 to 129 ± 12 mm Hg (mean difference, -11 [95% CI, -14 to -7] mm Hg; P &lt; 0.001), diastolic BP from 86 ± 8 to 79 ± 8 mm Hg (mean difference, -7 [95% CI, -10 to -5] mm Hg; P &lt; 0.001). We found no significant effect on natural log (ln)-transformed UAE (mean difference, -0.03 [95% CI, -0.6 to 0.6] ln(mg/24 h); P = 0.9) or eGFR. Limitations No hard end points; small study; small proportion of patients willing to test the intervention; adherence to sodium diet was achieved in 86% of patients. Conclusions In stable kidney transplant recipients receiving RAAS blockade, dietary sodium restriction effectively reduces BP without affecting eGFR. Dietary sodium restriction is relevant to BP management in kidney transplant recipients receiving RAAS blockade.","author":[{"dropping-particle":"V.","family":"Vries","given":"Laura","non-dropping-particle":"De","parse-names":false,"suffix":""},{"dropping-particle":"","family":"Dobrowolski","given":"Linn C.","non-dropping-particle":"","parse-names":false,"suffix":""},{"dropping-particle":"","family":"Bosch","given":"Jacqueline J.O.N.","non-dropping-particle":"Van Den","parse-names":false,"suffix":""},{"dropping-particle":"","family":"Riphagen","given":"Ineke J.","non-dropping-particle":"","parse-names":false,"suffix":""},{"dropping-particle":"","family":"Krediet","given":"C. T.Paul","non-dropping-particle":"","parse-names":false,"suffix":""},{"dropping-particle":"","family":"Bemelman","given":"Frederike J.","non-dropping-particle":"","parse-names":false,"suffix":""},{"dropping-particle":"","family":"Bakker","given":"Stephan J.L.","non-dropping-particle":"","parse-names":false,"suffix":""},{"dropping-particle":"","family":"Navis","given":"Gerjan","non-dropping-particle":"","parse-names":false,"suffix":""}],"container-title":"American Journal of Kidney Diseases","id":"ITEM-1","issue":"6","issued":{"date-parts":[["2016"]]},"page":"936-944","publisher":"Elsevier Inc","title":"Effects of dietary sodium restriction in kidney transplant recipients treated with renin-angiotensin-aldosterone system blockade: A randomized clinical trial","type":"article-journal","volume":"67"},"uris":["http://www.mendeley.com/documents/?uuid=4597d601-fae5-4a33-b94f-ec1d18105e2e"]}],"mendeley":{"formattedCitation":"&lt;sup&gt;29&lt;/sup&gt;","plainTextFormattedCitation":"29","previouslyFormattedCitation":"&lt;sup&gt;29&lt;/sup&gt;"},"properties":{"noteIndex":0},"schema":"https://github.com/citation-style-language/schema/raw/master/csl-citation.json"}</w:instrText>
      </w:r>
      <w:r>
        <w:fldChar w:fldCharType="separate"/>
      </w:r>
      <w:r w:rsidRPr="00D37D4E">
        <w:rPr>
          <w:noProof/>
          <w:vertAlign w:val="superscript"/>
        </w:rPr>
        <w:t>29</w:t>
      </w:r>
      <w:r>
        <w:fldChar w:fldCharType="end"/>
      </w:r>
      <w:r>
        <w:rPr>
          <w:color w:val="000000"/>
          <w:sz w:val="27"/>
          <w:szCs w:val="27"/>
        </w:rPr>
        <w:t xml:space="preserve"> </w:t>
      </w:r>
      <w:r>
        <w:t xml:space="preserve">and cohort studies </w:t>
      </w:r>
      <w:r>
        <w:fldChar w:fldCharType="begin" w:fldLock="1"/>
      </w:r>
      <w:r>
        <w:instrText>ADDIN CSL_CITATION {"citationItems":[{"id":"ITEM-1","itemData":{"DOI":"10.1111/ajt.14707","ISSN":"16006143","PMID":"29464830","abstract":"Renal transplant recipients (RTR) are at risk of decline of graft function and premature mortality, with high blood pressure as an important risk factor for both. To study the association of the Dietary Approach to Stop Hypertension (DASH) diet with these adverse events, we conducted a prospective cohort study of adult RTR. Dietary data were collected using a validated 177-item food frequency questionnaire and an overall DASH-score was obtained. We included 632 stable RTR (mean ± standard deviation age 53.0 ± 12.7 years, 57% men). Mean DASH score was 23.8 ± 4.7. During median follow-up of 5.3 (interquartile range, 4.1-6.0) years, 119 (18.8%) RTR had renal function decline, defined as a combined endpoint of doubling of serum creatinine and death-censored graft failure, and 128 (20.3%) died. In Cox-regression analyses, RTR in the highest tertile of the DASH score had lower risk of both renal function decline (hazard ratio [HR] = 0.57; 95% confidence interval [CI], 0.33-0.96, P =.03) and all-cause mortality (HR = 0.52; 95%CI, 0.32-0.83, P =.006) compared to the lowest tertile, independent of potential confounders. Adherence to a DASH-style diet is associated with lower risk of both renal function decline and all-cause mortality. These results suggest that a healthful diet might benefit long-term outcome in RTR.","author":[{"dropping-particle":"","family":"Osté","given":"Maryse C.J.","non-dropping-particle":"","parse-names":false,"suffix":""},{"dropping-particle":"","family":"Gomes-Neto","given":"António W.","non-dropping-particle":"","parse-names":false,"suffix":""},{"dropping-particle":"","family":"Corpeleijn","given":"Eva","non-dropping-particle":"","parse-names":false,"suffix":""},{"dropping-particle":"","family":"Gans","given":"Rijk O.B.","non-dropping-particle":"","parse-names":false,"suffix":""},{"dropping-particle":"","family":"Borst","given":"Martin H.","non-dropping-particle":"de","parse-names":false,"suffix":""},{"dropping-particle":"","family":"Berg","given":"Else","non-dropping-particle":"van den","parse-names":false,"suffix":""},{"dropping-particle":"","family":"Soedamah-Muthu","given":"Sabita S.","non-dropping-particle":"","parse-names":false,"suffix":""},{"dropping-particle":"","family":"Kromhout","given":"Daan","non-dropping-particle":"","parse-names":false,"suffix":""},{"dropping-particle":"","family":"Navis","given":"Gerjan J.","non-dropping-particle":"","parse-names":false,"suffix":""},{"dropping-particle":"","family":"Bakker","given":"Stephan J.L.","non-dropping-particle":"","parse-names":false,"suffix":""}],"container-title":"American Journal of Transplantation","id":"ITEM-1","issue":"10","issued":{"date-parts":[["2018"]]},"page":"2523-2533","title":"Dietary Approach to Stop Hypertension (DASH) diet and risk of renal function decline and all-cause mortality in renal transplant recipients","type":"article-journal","volume":"18"},"uris":["http://www.mendeley.com/documents/?uuid=720acb70-f831-4d97-9b31-8b756579c924"]},{"id":"ITEM-2","itemData":{"DOI":"10.1093/ndt/gfs069","ISSN":"09310509","PMID":"22499024","abstract":"Background. Hypertension is common among renal transplant recipients (RTR) and a risk factor for graft failure and mortality. Sodium intake is a well-established determinant of blood pressure (BP) in the general population. However, data in RTR are limited. International guidelines recommend a maximum daily sodium intake of 70 mmol. We investigated sodium intake in RTR as compared to healthy controls and its association with BP. Methods. We included 660 RTR (age 53 ± 13 years, 58 male) and 201 healthy controls (age 54 ± 11 years, 46 male). Sodium intake was assessed from 24-h urine collections. The morning after completion of urine collection, BP was measured according to a strict protocol. Results. Urinary sodium excretion was 156 ± 62 mmol/24 h in RTR and 195 ± 75 in controls (difference: P &lt; 0.001), and 95 of RTR had a urinary sodium excretion &gt;70 mmol/24 h. Systolic BP (SBP) and diastolic BP (DBP) were 136 ± 18 and 82 ± 11 mmHg, respectively. Sodium intake was positively associated with SBP (β 0.042 mmHg/mmol/24 h, P 0.002) and DBP (β 0.023 mmHg/mmol/24 h, P 0.007), independent of potential confounders. Conclusion. sAlthough RTR had a lower sodium intake than healthy controls, their intake still exceeded current guidelines. Reduction of sodium intake to recommended amounts could reduce SBP by 45 mmHg. Better control of sodium intake may help to prevent graft failure and mortality due to hypertension among RTR. © The Author 2012. Published by Oxford University Press on behalf of ERA-EDTA. All rights reserved.","author":[{"dropping-particle":"","family":"Berg","given":"Else","non-dropping-particle":"Van Den","parse-names":false,"suffix":""},{"dropping-particle":"","family":"Geleijnse","given":"Johanna M.","non-dropping-particle":"","parse-names":false,"suffix":""},{"dropping-particle":"","family":"Brink","given":"Elizabeth J.","non-dropping-particle":"","parse-names":false,"suffix":""},{"dropping-particle":"","family":"Baak","given":"Marleen A.","non-dropping-particle":"Van","parse-names":false,"suffix":""},{"dropping-particle":"","family":"Homan Van Der Heide","given":"Jaap J.","non-dropping-particle":"","parse-names":false,"suffix":""},{"dropping-particle":"","family":"Gans","given":"Rijk O.B.","non-dropping-particle":"","parse-names":false,"suffix":""},{"dropping-particle":"","family":"Navis","given":"Gerjan","non-dropping-particle":"","parse-names":false,"suffix":""},{"dropping-particle":"","family":"Bakker","given":"Stephan J.L.","non-dropping-particle":"","parse-names":false,"suffix":""}],"container-title":"Nephrology Dialysis Transplantation","id":"ITEM-2","issue":"8","issued":{"date-parts":[["2012"]]},"page":"3352-3359","title":"Sodium intake and blood pressure in renal transplant recipients","type":"article-journal","volume":"27"},"uris":["http://www.mendeley.com/documents/?uuid=60c4b661-6c24-43ff-a7cd-fa0ed1f2b28b"]}],"mendeley":{"formattedCitation":"&lt;sup&gt;30,31&lt;/sup&gt;","plainTextFormattedCitation":"30,31","previouslyFormattedCitation":"&lt;sup&gt;30,31&lt;/sup&gt;"},"properties":{"noteIndex":0},"schema":"https://github.com/citation-style-language/schema/raw/master/csl-citation.json"}</w:instrText>
      </w:r>
      <w:r>
        <w:fldChar w:fldCharType="separate"/>
      </w:r>
      <w:r w:rsidRPr="00D37D4E">
        <w:rPr>
          <w:noProof/>
          <w:vertAlign w:val="superscript"/>
        </w:rPr>
        <w:t>30,31</w:t>
      </w:r>
      <w:r>
        <w:fldChar w:fldCharType="end"/>
      </w:r>
      <w:r>
        <w:t xml:space="preserve"> focusing on kidney transplant recipients. A recent update of a Cochrane review of salt intake for people with chronic kidney disease </w:t>
      </w:r>
      <w:r>
        <w:fldChar w:fldCharType="begin" w:fldLock="1"/>
      </w:r>
      <w:r>
        <w:instrText>ADDIN CSL_CITATION {"citationItems":[{"id":"ITEM-1","itemData":{"DOI":"10.1002/14651858.CD010070.pub3","ISSN":"14651858","PMID":"34164803","abstract":"Background: Evidence indicates that reducing dietary salt may reduce the incidence of heart disease and delay decline in kidney function in people with chronic kidney disease (CKD). This is an update of a review first published in 2015. Objectives: To evaluate the benefits and harms of altering dietary salt for adults with CKD. Search methods: We searched the Cochrane Kidney and Transplant Register of Studies up to 6 October 2020 through contact with the Information Specialist using search terms relevant to this review. Studies in the Register are identified through searches of CENTRAL, MEDLINE, and EMBASE, conference proceedings, the International Clinical Trials Register (ICTRP) Search Portal and ClinicalTrials.gov. Selection criteria: Randomised controlled trials comparing two or more levels of salt intake in adults with any stage of CKD. Data collection and analysis: Two authors independently assessed studies for eligibility, conducted risk of bias evaluation and evaluated confidence in the evidence using GRADE. Results were summarised using random effects models as risk ratios (RR) for dichotomous outcomes or mean differences (MD) for continuous outcomes, with 95% confidence intervals (CI). Main results: We included 21 studies (1197 randomised participants), 12 in the earlier stages of CKD (779 randomised participants), seven in dialysis (363 randomised participants) and two in post-transplant (55 randomised participants). Selection bias was low in seven studies, high in one and unclear in 13. Performance and detection biases were low in four studies, high in two, and unclear in 15. Attrition and reporting biases were low in 10 studies, high in three and unclear in eight. Because duration of the included studies was too short (1 to 36 weeks) to test the effect of salt restriction on endpoints such as death, cardiovascular events or CKD progression, changes in salt intake on blood pressure and other secondary risk factors were examined. Reducing salt by mean -73.51 mmol/day (95% CI -92.76 to -54.27), equivalent to 4.2 g or 1690 mg sodium/day, reduced systolic/diastolic blood pressure by -6.91/-3.91 mm Hg (95% CI -8.82 to -4.99/-4.80 to -3.02; 19 studies, 1405 participants; high certainty evidence). Albuminuria was reduced by 36% (95% CI 26 to 44) in six studies, five of which were carried out in people in the earlier stages of CKD (MD -0.44, 95% CI -0.58 to -0.30; 501 participants; high certainty evidence). The evidence is very uncertain about the e…","author":[{"dropping-particle":"","family":"McMahon","given":"Emma J.","non-dropping-particle":"","parse-names":false,"suffix":""},{"dropping-particle":"","family":"Campbell","given":"Katrina L.","non-dropping-particle":"","parse-names":false,"suffix":""},{"dropping-particle":"","family":"Bauer","given":"Judith D.","non-dropping-particle":"","parse-names":false,"suffix":""},{"dropping-particle":"","family":"Mudge","given":"David W.","non-dropping-particle":"","parse-names":false,"suffix":""},{"dropping-particle":"","family":"Kelly","given":"Jaimon T.","non-dropping-particle":"","parse-names":false,"suffix":""}],"container-title":"Cochrane Database of Systematic Reviews","id":"ITEM-1","issue":"6","issued":{"date-parts":[["2021"]]},"title":"Altered dietary salt intake for people with chronic kidney disease","type":"article-journal","volume":"2021"},"uris":["http://www.mendeley.com/documents/?uuid=11bc22a6-4a42-4240-adc5-a7d4f85e3e7f"]}],"mendeley":{"formattedCitation":"&lt;sup&gt;32&lt;/sup&gt;","plainTextFormattedCitation":"32","previouslyFormattedCitation":"&lt;sup&gt;32&lt;/sup&gt;"},"properties":{"noteIndex":0},"schema":"https://github.com/citation-style-language/schema/raw/master/csl-citation.json"}</w:instrText>
      </w:r>
      <w:r>
        <w:fldChar w:fldCharType="separate"/>
      </w:r>
      <w:r w:rsidRPr="00D37D4E">
        <w:rPr>
          <w:noProof/>
          <w:vertAlign w:val="superscript"/>
        </w:rPr>
        <w:t>32</w:t>
      </w:r>
      <w:r>
        <w:fldChar w:fldCharType="end"/>
      </w:r>
      <w:r>
        <w:t xml:space="preserve"> as well as national UK Kidney Association commentary </w:t>
      </w:r>
      <w:r>
        <w:fldChar w:fldCharType="begin" w:fldLock="1"/>
      </w:r>
      <w:r>
        <w:instrText>ADDIN CSL_CITATION {"citationItems":[{"id":"ITEM-1","itemData":{"abstract":"Commentary on NICE guideline (NG136) 'Hypertension in adults: diagnosis and management' 2021 2","author":[{"dropping-particle":"","family":"Fish","given":"R","non-dropping-particle":"","parse-names":false,"suffix":""},{"dropping-particle":"","family":"Chitalia","given":"N","non-dropping-particle":"","parse-names":false,"suffix":""},{"dropping-particle":"","family":"Doulton","given":"T","non-dropping-particle":"","parse-names":false,"suffix":""},{"dropping-particle":"","family":"Durman","given":"K","non-dropping-particle":"","parse-names":false,"suffix":""},{"dropping-particle":"","family":"Lamerton","given":"E","non-dropping-particle":"","parse-names":false,"suffix":""},{"dropping-particle":"","family":"Lioudaki","given":"E","non-dropping-particle":"","parse-names":false,"suffix":""},{"dropping-particle":"","family":"MacDiarmaid-Gordon","given":"A","non-dropping-particle":"","parse-names":false,"suffix":""},{"dropping-particle":"","family":"Mark","given":"P","non-dropping-particle":"","parse-names":false,"suffix":""},{"dropping-particle":"","family":"Ratcliffe","given":"L","non-dropping-particle":"","parse-names":false,"suffix":""},{"dropping-particle":"","family":"Tomson","given":"C","non-dropping-particle":"","parse-names":false,"suffix":""},{"dropping-particle":"","family":"Dasgupta","given":"I","non-dropping-particle":"","parse-names":false,"suffix":""}],"id":"ITEM-1","issue":"March","issued":{"date-parts":[["2021"]]},"number-of-pages":"1-12","title":"Commentary on NICE guideline (NG136) 'Hypertension in adults: diagnosis and management' including proposals for blood pressure management in patients with chronic kidney disease","type":"report"},"uris":["http://www.mendeley.com/documents/?uuid=bda5e2bf-0261-48fd-b22a-0dc676917b7b"]}],"mendeley":{"formattedCitation":"&lt;sup&gt;33&lt;/sup&gt;","plainTextFormattedCitation":"33","previouslyFormattedCitation":"&lt;sup&gt;33&lt;/sup&gt;"},"properties":{"noteIndex":0},"schema":"https://github.com/citation-style-language/schema/raw/master/csl-citation.json"}</w:instrText>
      </w:r>
      <w:r>
        <w:fldChar w:fldCharType="separate"/>
      </w:r>
      <w:r w:rsidRPr="00D37D4E">
        <w:rPr>
          <w:noProof/>
          <w:vertAlign w:val="superscript"/>
        </w:rPr>
        <w:t>33</w:t>
      </w:r>
      <w:r>
        <w:fldChar w:fldCharType="end"/>
      </w:r>
      <w:r>
        <w:t xml:space="preserve"> both recommend a </w:t>
      </w:r>
      <w:r w:rsidRPr="00CE3345">
        <w:t xml:space="preserve">salt intake of less than 6g per day.  </w:t>
      </w:r>
    </w:p>
    <w:p w14:paraId="596B6B93" w14:textId="77777777" w:rsidR="00A51E53" w:rsidRDefault="00A51E53" w:rsidP="008D4BDF">
      <w:pPr>
        <w:spacing w:line="276" w:lineRule="auto"/>
        <w:jc w:val="both"/>
      </w:pPr>
      <w:r w:rsidRPr="00CE3345">
        <w:t xml:space="preserve">It is worth noting that KDIGO in their clinical practice guideline for the management of blood pressure in chronic kidney disease recommend &lt;5g salt per day </w:t>
      </w:r>
      <w:r w:rsidRPr="00CE3345">
        <w:fldChar w:fldCharType="begin" w:fldLock="1"/>
      </w:r>
      <w:r w:rsidRPr="00CE3345">
        <w:instrText>ADDIN CSL_CITATION {"citationItems":[{"id":"ITEM-1","itemData":{"author":[{"dropping-particle":"","family":"Kidney Disease: Improving Global Outcomes (KDIGO) Blood Pressure Work Group","given":"","non-dropping-particle":"","parse-names":false,"suffix":""}],"container-title":"Kidney International","id":"ITEM-1","issue":"3S","issued":{"date-parts":[["2021"]]},"page":"S1-S87","title":"KDIGO 2021 Clinical Practice Guideline for the Management of Blood Pressure in Chronic Kidney Disease","type":"article-journal","volume":"99"},"uris":["http://www.mendeley.com/documents/?uuid=8bce64f9-4b2c-4a35-937f-f09ec3f2319b"]}],"mendeley":{"formattedCitation":"&lt;sup&gt;34&lt;/sup&gt;","plainTextFormattedCitation":"34"},"properties":{"noteIndex":0},"schema":"https://github.com/citation-style-language/schema/raw/master/csl-citation.json"}</w:instrText>
      </w:r>
      <w:r w:rsidRPr="00CE3345">
        <w:fldChar w:fldCharType="separate"/>
      </w:r>
      <w:r w:rsidRPr="00CE3345">
        <w:rPr>
          <w:noProof/>
          <w:vertAlign w:val="superscript"/>
        </w:rPr>
        <w:t>34</w:t>
      </w:r>
      <w:r w:rsidRPr="00CE3345">
        <w:fldChar w:fldCharType="end"/>
      </w:r>
      <w:r w:rsidRPr="00CE3345">
        <w:t>. They reflect that most of the studies in people with CKD focus on limiting salt to &lt;5g or &lt;6g of salt per day and that the decision to recommend &lt;5g was to achieve “concordance across guidelines”.  This guideline, however, highlights changes in lifestyle that are going to be sustainable as well as beneficial for health.</w:t>
      </w:r>
      <w:r>
        <w:t xml:space="preserve">  </w:t>
      </w:r>
      <w:r>
        <w:tab/>
      </w:r>
    </w:p>
    <w:p w14:paraId="090ADE84" w14:textId="77777777" w:rsidR="00A51E53" w:rsidRPr="000266EC" w:rsidRDefault="00A51E53" w:rsidP="00A51E53">
      <w:pPr>
        <w:pStyle w:val="Heading3"/>
        <w:spacing w:before="0" w:after="160"/>
      </w:pPr>
      <w:bookmarkStart w:id="96" w:name="_Toc128330002"/>
      <w:r>
        <w:t>6</w:t>
      </w:r>
      <w:r w:rsidRPr="000266EC">
        <w:t>.</w:t>
      </w:r>
      <w:r>
        <w:t>5</w:t>
      </w:r>
      <w:r w:rsidRPr="000266EC">
        <w:t xml:space="preserve"> </w:t>
      </w:r>
      <w:r>
        <w:t>Behaviour change techniques</w:t>
      </w:r>
      <w:bookmarkEnd w:id="96"/>
      <w:r>
        <w:t xml:space="preserve"> </w:t>
      </w:r>
    </w:p>
    <w:p w14:paraId="010727F4" w14:textId="77777777" w:rsidR="00A51E53" w:rsidRDefault="00A51E53" w:rsidP="008D4BDF">
      <w:pPr>
        <w:spacing w:line="276" w:lineRule="auto"/>
        <w:jc w:val="both"/>
      </w:pPr>
      <w:r>
        <w:t xml:space="preserve">Behaviour change techniques are used to support the sustainability and effectiveness of lifestyle interventions.  There are several behaviour change techniques </w:t>
      </w:r>
      <w:r>
        <w:fldChar w:fldCharType="begin" w:fldLock="1"/>
      </w:r>
      <w:r>
        <w:instrText>ADDIN CSL_CITATION {"citationItems":[{"id":"ITEM-1","itemData":{"DOI":"10.1080/08870446.2010.540664","ISSN":"08870446","PMID":"21678185","abstract":"Background: Current reporting of intervention content in published research articles and protocols is generally poor, with great diversity of terminology, resulting in low replicability. This study aimed to extend the scope and improve the reliability of a 26-item taxonomy of behaviour change techniques developed by Abraham and Michie [Abraham, C. and Michie, S. (2008). A taxonomy of behaviour change techniques used in interventions. Health Psychology, 27(3), 379-387.] in order to optimise the reporting and scientific study of behaviour change interventions. Methods: Three UK study centres collaborated in applying this existing taxonomy to two systematic reviews of interventions to increase physical activity and healthy eating. The taxonomy was refined in iterative steps of (1) coding intervention descriptions, and assessing inter-rater reliability, (2) identifying gaps and problems across study centres and (3) refining the labels and definitions based on consensus discussions. Results: Labels and definitions were improved for all techniques, conceptual overlap between categories was resolved, some categories were split and 14 techniques were added, resulting in a 40-item taxonomy. Inter-rater reliability, assessed on 50 published intervention descriptions, was good (kappa = 0.79). Conclusions: This taxonomy can be used to improve the specification of interventions in published reports, thus improving replication, implementation and evidence syntheses. This will strengthen the scientific study of behaviour change and intervention development. © 2011 Taylor and Francis Group, LLC.","author":[{"dropping-particle":"","family":"Michie","given":"Susan","non-dropping-particle":"","parse-names":false,"suffix":""},{"dropping-particle":"","family":"Ashford","given":"Stefanie","non-dropping-particle":"","parse-names":false,"suffix":""},{"dropping-particle":"","family":"Sniehotta","given":"Falko F.","non-dropping-particle":"","parse-names":false,"suffix":""},{"dropping-particle":"","family":"Dombrowski","given":"Stephan U.","non-dropping-particle":"","parse-names":false,"suffix":""},{"dropping-particle":"","family":"Bishop","given":"Alex","non-dropping-particle":"","parse-names":false,"suffix":""},{"dropping-particle":"","family":"French","given":"David P.","non-dropping-particle":"","parse-names":false,"suffix":""}],"container-title":"Psychology and Health","id":"ITEM-1","issue":"11","issued":{"date-parts":[["2011"]]},"page":"1479-1498","title":"A refined taxonomy of behaviour change techniques to help people change their physical activity and healthy eating behaviours: The CALO-RE taxonomy","type":"article-journal","volume":"26"},"uris":["http://www.mendeley.com/documents/?uuid=060a7b09-655e-428d-8d82-6b47c2b280b7"]}],"mendeley":{"formattedCitation":"&lt;sup&gt;35&lt;/sup&gt;","plainTextFormattedCitation":"35","previouslyFormattedCitation":"&lt;sup&gt;34&lt;/sup&gt;"},"properties":{"noteIndex":0},"schema":"https://github.com/citation-style-language/schema/raw/master/csl-citation.json"}</w:instrText>
      </w:r>
      <w:r>
        <w:fldChar w:fldCharType="separate"/>
      </w:r>
      <w:r w:rsidRPr="00821369">
        <w:rPr>
          <w:noProof/>
          <w:vertAlign w:val="superscript"/>
        </w:rPr>
        <w:t>35</w:t>
      </w:r>
      <w:r>
        <w:fldChar w:fldCharType="end"/>
      </w:r>
      <w:r>
        <w:t xml:space="preserve"> however, there are only a few randomised controlled trials that have employed one or more such techniques with kidney transplant </w:t>
      </w:r>
      <w:r>
        <w:lastRenderedPageBreak/>
        <w:t xml:space="preserve">recipients </w:t>
      </w:r>
      <w:r>
        <w:fldChar w:fldCharType="begin" w:fldLock="1"/>
      </w:r>
      <w:r>
        <w:instrText>ADDIN CSL_CITATION {"citationItems":[{"id":"ITEM-1","itemData":{"DOI":"10.1097/TP.0000000000002969","ISBN":"0000000000","ISSN":"00411337","PMID":"31568390","abstract":"Background. New-onset diabetes is common after kidney transplantation, but the benefit of lifestyle intervention to improve glucose metabolism posttransplantation is unproven. Methods. We conducted a single-center, randomized controlled trial involving 130 nondiabetic kidney transplant recipients with stable function between 3 and 24 months post-transplantation. Participants were randomly assigned in a 1:1 ratio to receive active intervention (lifestyle advice delivered by renal dietitians using behavior change techniques) versus passive intervention (leaflet advice alone). Primary outcome was 6-month change in insulin secretion, insulin sensitivity, and disposition index. Secondary outcomes included patient-reported outcomes, cardiometabolic parameters, clinical outcomes, and safety endpoints. Results. Between August 17, 2015 and December 18, 2017, 130 individuals were recruited, of whom 103 completed the study (drop-out rate 20.8%). Active versus passive intervention was not associated with any change in glucose metabolism: insulin secretion (mean difference, -446; 95% confidence interval [CI], -3184 to 2292; P = 0.748), insulin sensitivity (mean difference, -0.45; 95% CI, -1.34 to 0.44; P = 0.319), or disposition index (mean difference, -940; 95% CI, -5655 to 3775; P = 0.693). Clinically, active versus passive lifestyle intervention resulted in reduced incidence of posttransplantation diabetes (7.6% versus 15.6%, respectively, P = 0.123), reduction in fat mass (mean difference, -1.537 kg; 95% CI, -2.947 to -0.127; P = 0.033), and improvement in weight (mean difference, -2.47 kg; 95% CI, -4.01 to -0.92; P = 0.002). No serious adverse events were noted. Conclusions. Active lifestyle intervention led by renal dietitians did not improve surrogate markers of glucose metabolism. Further investigation is warranted to determine if clinical outcomes can be improved using this methodology.","author":[{"dropping-particle":"","family":"Kuningas","given":"Kulli","non-dropping-particle":"","parse-names":false,"suffix":""},{"dropping-particle":"","family":"Driscoll","given":"Joanne","non-dropping-particle":"","parse-names":false,"suffix":""},{"dropping-particle":"","family":"Mair","given":"Reena","non-dropping-particle":"","parse-names":false,"suffix":""},{"dropping-particle":"","family":"Smith","given":"Helen","non-dropping-particle":"","parse-names":false,"suffix":""},{"dropping-particle":"","family":"Dutton","given":"Mary","non-dropping-particle":"","parse-names":false,"suffix":""},{"dropping-particle":"","family":"Day","given":"Edward","non-dropping-particle":"","parse-names":false,"suffix":""},{"dropping-particle":"","family":"Sharif","given":"Adnan","non-dropping-particle":"","parse-names":false,"suffix":""},{"dropping-particle":"","family":"Sharif","given":"Adnan","non-dropping-particle":"","parse-names":false,"suffix":""}],"container-title":"Transplantation","id":"ITEM-1","issue":"7","issued":{"date-parts":[["2020"]]},"page":"1491-1499","title":"Comparing glycaemic benefits of active versus passive lifestyle intervention in kidney allograft recipients: A randomized controlled trial","type":"article-journal","volume":"104"},"uris":["http://www.mendeley.com/documents/?uuid=ce372b12-f68d-454b-93c7-2cff170abff3"]},{"id":"ITEM-2","itemData":{"DOI":"10.1111/tri.13570","ISSN":"14322277","PMID":"31925833","abstract":"Kidney transplant recipients (KTRs) and liver transplant recipients (LTRs) have significant post-transplant weight gain and low physical activity. We conducted a home-based, remotely monitored intervention using wearable accelerometer devices to promote post-transplant physical activity. We randomized 61 KTRs and 66 LTRs within 24 months of transplant to: (i) control, (ii) accelerometer or (iii) intervention: accelerometer paired with financial incentives and health engagement questions to increase steps by 15% from baseline every 2 weeks. The primary outcome was weight change. A co-primary outcome for the two accelerometer arms was steps. Participants were recruited at a median of 9.5 [3–17] months post-transplant. At 3 months, there were no significant differences in weight change across the three arms. The intervention arm was more likely to achieve ≥7000 steps compared to control with device (OR 1.99, 95% CI: 1.03–3.87); effect remained significant after adjusting for demographics, allograft, time from transplant and baseline weight. Adherence to target step goals was 74% in the intervention arm, 84% of health engagement questions were answered correctly. A pilot study with financial incentives and health engagement questions was feasible and led KTRs and LTRs to walk more, but did not affect weight. A definitive trial is warranted.","author":[{"dropping-particle":"","family":"Serper","given":"Marina","non-dropping-particle":"","parse-names":false,"suffix":""},{"dropping-particle":"","family":"Barankay","given":"Iwan","non-dropping-particle":"","parse-names":false,"suffix":""},{"dropping-particle":"","family":"Chadha","given":"Sakshum","non-dropping-particle":"","parse-names":false,"suffix":""},{"dropping-particle":"","family":"Shults","given":"Justine","non-dropping-particle":"","parse-names":false,"suffix":""},{"dropping-particle":"","family":"Jones","given":"Lauren S.","non-dropping-particle":"","parse-names":false,"suffix":""},{"dropping-particle":"","family":"Olthoff","given":"Kim M.","non-dropping-particle":"","parse-names":false,"suffix":""},{"dropping-particle":"","family":"Reese","given":"Peter P.","non-dropping-particle":"","parse-names":false,"suffix":""}],"container-title":"Transplant International","id":"ITEM-2","issue":"6","issued":{"date-parts":[["2020"]]},"page":"632-643","title":"A randomized, controlled, behavioral intervention to promote walking after abdominal organ transplantation: results from the LIFT study","type":"article-journal","volume":"33"},"uris":["http://www.mendeley.com/documents/?uuid=cfc472ed-48a9-4132-a9a6-d7a557070069"]},{"id":"ITEM-3","itemData":{"DOI":"10.1097/TXD.0000000000000936","ISBN":"0000000000000","ISSN":"23738731","abstract":"Background. In the first year following renal transplantation, preventing weight gain to minimize overweight or obesity is particularly important. The aim of this study is to test the effect of an 8-month behavioral intervention BMI and physical activity. Methods. This randomized controlled study included 123 adult kidney or kidney-pancreas recipients. Patients were randomized to usual (1 educational session, then weight self-monitoring) and intervention care (usual care plus 7-8 counseling sessions). Alongside weight, body composition, and physical activity, satisfaction and perceptions regarding care were measured at weeks 2-6 (baseline), then at months 8 and 12. Results. Both groups reported comparably high satisfaction. The intervention group (IG) reported more chronic care-related activities. In patients with BMIs ≥ 18.5, mean weight gain (from baseline) was unexpectedly low in both groups: At month 8, +0.04 kg/m2 in IG patients and +0.14 kg/m2 in the control group (P = 0.590), and respectively, +0.03 kg/m2 and +0.19 kg/m2 at month 12 (P = 0.454). Both groups were physically active, walking averages of 10 807 (IG) and 11 093 (control group) steps per day at month 8 (P = 0.823), and respectively 9773 and 11 217 at month 12 (P = 0.195). Conclusions. The behavioral intervention had high patient acceptance and supported patients in maintaining their weight, but had no superior effect on a single educational session. Further research is needed to assess patient weight gain risk profiles to stratify the intervention.","author":[{"dropping-particle":"","family":"Schmid-Mohler","given":"Gabriela","non-dropping-particle":"","parse-names":false,"suffix":""},{"dropping-particle":"","family":"Zala","given":"Patrizia","non-dropping-particle":"","parse-names":false,"suffix":""},{"dropping-particle":"","family":"Graf","given":"Nicole","non-dropping-particle":"","parse-names":false,"suffix":""},{"dropping-particle":"","family":"Witschi","given":"Patrick","non-dropping-particle":"","parse-names":false,"suffix":""},{"dropping-particle":"","family":"Mueller","given":"Thomas F.","non-dropping-particle":"","parse-names":false,"suffix":""},{"dropping-particle":"","family":"Peter Wüthrich","given":"Rudolf","non-dropping-particle":"","parse-names":false,"suffix":""},{"dropping-particle":"","family":"Huber","given":"Laura","non-dropping-particle":"","parse-names":false,"suffix":""},{"dropping-particle":"","family":"Fehr","given":"Thomas","non-dropping-particle":"","parse-names":false,"suffix":""},{"dropping-particle":"","family":"Spirig","given":"Rebecca","non-dropping-particle":"","parse-names":false,"suffix":""}],"container-title":"Transplantation Direct","id":"ITEM-3","issue":"12","issued":{"date-parts":[["2019"]]},"page":"1-9","title":"Comparison of a Behavioral Versus an Educational Weight Management Intervention after Renal Transplantation: A Randomized Controlled Trial","type":"article-journal","volume":"5"},"uris":["http://www.mendeley.com/documents/?uuid=acb4c5cb-b67b-4c8e-9a7e-eaaef2d900f6"]},{"id":"ITEM-4","itemData":{"DOI":"10.1053/j.jrn.2018.03.001","ISSN":"10512276","PMID":"29729825","abstract":"Objective: Excessive weight gain is common after kidney transplantation and increases cardiovascular risk. The aim of this randomized controlled trial was to determine whether an intensive nutrition and exercise intervention delivered alongside routine post-transplant care would reduce post-transplant weight gain. Design: Single-blind, randomized controlled trial. Subjects and Setting: Adult kidney transplant recipients at a regional transplant center were recruited during routine outpatient clinic visits in the first month after transplant. Patients with a body mass index &gt;40 kg/m2 or &lt;18.5 kg/m2, severe malnutrition, or ongoing medical complications were excluded. Intervention: Participants were randomized to intensive nutrition intervention (individualized nutrition and exercise counselling; 12 dietitian visits; 3 exercise physiologist visits over 12 months) or to standard nutrition care (guideline based; 4 dietitian visits). Main outcome measures: The primary outcome was weight at 6 months after transplant adjusted for baseline weight, obesity, and gender, analyzed using analysis of covariance. The secondary outcomes included body composition, biochemistry, quality of life, and physical function. Results: Thirty-seven participants were randomized to the intensive intervention (n = 19) or to standard care (n = 18); one intensive group participant withdrew before baseline. Weight increased between baseline, 6 and 12 months (78.0 ± 13.7 [standard deviation], 79.6 ± 13.0 kg, 81.6 ± 12.9 kg; mean change 4.6% P &lt;.001) but at 6 months did not differ significantly between the groups: 77.0 ± 12.4 kg (intensive); 82.2 ± 13.4 kg (standard); difference in adjusted means 0.4 kg (95% confidence interval: −2.2 to 3.0 kg); analysis of covariance P =.7. No between-group differences in secondary outcomes were observed. Across the whole cohort, total body protein and physical function (gait speed, sit to stand, grip strength, physical activity, and quality of life [all but 2 domains]) improved. However, adverse changes were seen for total body fat, HbA1c, and fasting glucose across the cohort. Conclusions: Kidney transplant recipients in the first year after transplant did not benefit from an intensive nutrition intervention compared with standard nutrition care, although weight gain was relatively modest in both groups.","author":[{"dropping-particle":"","family":"Henggeler","given":"Cordula K.","non-dropping-particle":"","parse-names":false,"suffix":""},{"dropping-particle":"","family":"Plank","given":"Lindsay D.","non-dropping-particle":"","parse-names":false,"suffix":""},{"dropping-particle":"","family":"Ryan","given":"Kristin J.","non-dropping-particle":"","parse-names":false,"suffix":""},{"dropping-particle":"","family":"Gilchrist","given":"Emily L.","non-dropping-particle":"","parse-names":false,"suffix":""},{"dropping-particle":"","family":"Casas","given":"Jessie M.","non-dropping-particle":"","parse-names":false,"suffix":""},{"dropping-particle":"","family":"Lloyd","given":"Lyn E.","non-dropping-particle":"","parse-names":false,"suffix":""},{"dropping-particle":"","family":"Mash","given":"Laura E.","non-dropping-particle":"","parse-names":false,"suffix":""},{"dropping-particle":"","family":"McLellan","given":"Sandra L.","non-dropping-particle":"","parse-names":false,"suffix":""},{"dropping-particle":"","family":"Robb","given":"Jennifer M.","non-dropping-particle":"","parse-names":false,"suffix":""},{"dropping-particle":"","family":"Collins","given":"Michael G.","non-dropping-particle":"","parse-names":false,"suffix":""}],"container-title":"Journal of Renal Nutrition","id":"ITEM-4","issue":"5","issued":{"date-parts":[["2018"]]},"page":"340-351","publisher":"The Authors","title":"A Randomized Controlled Trial of an Intensive Nutrition Intervention Versus Standard Nutrition Care to Avoid Excess Weight Gain After Kidney Transplantation: The INTENT Trial","type":"article-journal","volume":"28"},"uris":["http://www.mendeley.com/documents/?uuid=b5b05e08-6ac8-4da5-bf94-f18207d40ad7"]},{"id":"ITEM-5","itemData":{"DOI":"10.3389/fnut.2022.887580","abstract":" Half of kidney transplant recipients (KTRs) gain more than 5% of their body weight in the first year following transplantation. KTRs have requested support with physical activity (PA) and weight gain prevention, but there is no routine care offered. There are few high-quality studies investigating the clinical value of diet, PA or combined interventions to prevent weight gain. The development and evaluation of theoretically informed complex-interventions to mitigate weight gain are warranted. The aims of this mixed-methods randomized controlled trial (RCT) were to explore the feasibility, acceptability and user-experience of a digital healthcare intervention (DHI) designed to prevent post-transplant weight gain, in preparation for a large multi-center trial. New KTRs (&amp;lt;3 months) with access to an internet compatible device were recruited from a London transplant center. The usual care (UC) group received standard dietary and PA advice. The intervention group (IG) received access to a 12-week DHI designed to prevent post-transplant weight gain. Primary feasibility outcomes included screening, recruitment, retention, adherence, safety and hospitalizations and engagement and experience with the DHI. Secondary outcomes (anthropometrics, bioimpedance, arterial stiffness, 6-minute walk distance and questionnaires) were measured at baseline, 3- and 12-months. 38 KTRs were screened, of which 32 (84.2%) were eligible, and of those 20 (62.5%) consented, with 17 participants (85%) completing baseline assessment (Median 49 years, 58.8% male, Median 62 days post-transplant). Participants were randomized using a computer-generated list ( n = 9 IG, n = 8 UC). Retention at 12-months was 13 (76.4%) ( n = 6 IG, n = 7 UC). All a priori progression criteria were achieved. There were no associated adverse events. Reflexive thematic analysis revealed four themes regarding trial participation and experience whilst using the DHI. Halting recruitment due to COVID-19 resulted in the recruitment of 40% of the target sample size. Mixed-methods data provided important insights for future trial design. A definitive RCT is warranted and welcomed by KTRs. ","author":[{"dropping-particle":"","family":"Castle","given":"Ellen M.","non-dropping-particle":"","parse-names":false,"suffix":""},{"dropping-particle":"","family":"Dijk","given":"Giulia","non-dropping-particle":"","parse-names":false,"suffix":""},{"dropping-particle":"","family":"Asgari","given":"Elham","non-dropping-particle":"","parse-names":false,"suffix":""},{"dropping-particle":"","family":"Shah","given":"Sapna","non-dropping-particle":"","parse-names":false,"suffix":""},{"dropping-particle":"","family":"Phillips","given":"Rachel","non-dropping-particle":"","parse-names":false,"suffix":""},{"dropping-particle":"","family":"Greenwood","given":"James","non-dropping-particle":"","parse-names":false,"suffix":""},{"dropping-particle":"","family":"Bramham","given":"Kate","non-dropping-particle":"","parse-names":false,"suffix":""},{"dropping-particle":"","family":"Chilcot","given":"Joseph","non-dropping-particle":"","parse-names":false,"suffix":""},{"dropping-particle":"","family":"Greenwood","given":"Sharlene A.","non-dropping-particle":"","parse-names":false,"suffix":""}],"container-title":"Frontiers in Nutrition","id":"ITEM-5","issue":"May","issued":{"date-parts":[["2022"]]},"page":"1-18","title":"The Feasibility and User-Experience of a Digital Health Intervention Designed to Prevent Weight Gain in New Kidney Transplant Recipients—The ExeRTiOn2 Trial","type":"article-journal","volume":"9"},"uris":["http://www.mendeley.com/documents/?uuid=c5f074b7-e329-4939-9c97-e2a72ca9fd18"]},{"id":"ITEM-6","itemData":{"DOI":"10.1097/jnr.0000000000000115","ISBN":"0000000000000","ISSN":"1948965X","PMID":"26551216","abstract":"Background: Renal transplantation is a vital treatment for end-stage renal disease. To help improve quality of life after renal transplant surgery, interventions are needed to strengthen the coping skills and self-care behaviors of patients. However, most research studies on self-care after renal transplantation have addressed related factors. Few studies have examined the effects of interventions on renal transplant recipients. Purpose: This study investigated the effects of an empowerment support group on the empowerment levels and self-care behaviors of renal transplant recipients. Methods: This study was a randomized controlled trial. Eligible participants were individuals who had undergone a renal transplant within the past 20 years, were 18 years old or older, were able to read and write in Chinese, and were willing to participate. We recruited 122 renal transplant recipients from two medical centers in southern Taiwan. The renal transplant outpatients were randomly assigned into empowerment support (n = 56) and comparison (n = 66) groups. The developed measures as well as the content, protocols, and the two groups were assessed for reliability and validity. The intervention involved one 2-hour meeting every 2 weeks for a total of six meetings. The topics included goal setting, problem solving, coping with daily stress, seeking social support, and staying motivated. The sessions consisted of introductions that highlighted the topic, group discussions, identifying areas of difficulty with self-care behaviors after renal transplant, and developing a set of goals and strategies to overcome these problems. Results: The empowerment group reported significant increases both in terms of level of empowerment (F = 5.29, p =.023) based on age and time interaction (F = 9.86, p &lt;.001) and in terms of self-care behaviors (F = 7.15, p =.009). Moreover, these increases were significantly larger than the increases recorded by the comparison group. In addition, these increases were particularly large in the older empowerment-group participants with lower pretest scores for empowerment. Conclusions: Empowerment support may be critical to improve the empowerment and self-care behaviors of renal transplant patients. The results of this study may be applied to improve patient education and empowerment programs for renal transplant patients. Furthermore, these programs may be adjusted to take into consideration the learning preferences or needs of different age groups.","author":[{"dropping-particle":"","family":"Hsiao","given":"Chiu Yueh","non-dropping-particle":"","parse-names":false,"suffix":""},{"dropping-particle":"","family":"Lin","given":"Li Wei","non-dropping-particle":"","parse-names":false,"suffix":""},{"dropping-particle":"","family":"Su","given":"Yu Wen","non-dropping-particle":"","parse-names":false,"suffix":""},{"dropping-particle":"","family":"Yeh","given":"Shu Hui","non-dropping-particle":"","parse-names":false,"suffix":""},{"dropping-particle":"","family":"Lee","given":"Li Na","non-dropping-particle":"","parse-names":false,"suffix":""},{"dropping-particle":"","family":"Tsai","given":"Fu Mian","non-dropping-particle":"","parse-names":false,"suffix":""}],"container-title":"Journal of Nursing Research","id":"ITEM-6","issue":"3","issued":{"date-parts":[["2016"]]},"page":"201-210","title":"The Effects of an Empowerment Intervention on Renal Transplant Recipients: A Randomized Controlled Trial","type":"article-journal","volume":"24"},"uris":["http://www.mendeley.com/documents/?uuid=5af8bde6-b4f0-4f80-803f-142c414dc836"]},{"id":"ITEM-7","itemData":{"DOI":"10.1177/1526924820958148","ISSN":"15269248","PMID":"32912051","abstract":"Background: Cardiovascular disease is the leading cause of death in kidney transplant recipients. Physical activity after transplant is the most modifiable nonpharmacological factor for improving cardiovascular outcomes. Few studies have tested walking interventions to enhance daily steps and health outcomes in older kidney recipients. Methods: Using a pilot feasibility randomized clinical trial design, we tested the feasibility and efficacy of a 6-month SystemCHANGE™ (Change Habits by Applying New Goals and Experience) + Activity Tracker intervention for recruitment, retention, daily steps, and health outcomes (blood pressure, heart rate, body mass index, waist circumference, and physical function). The SystemCHANGE™ + Activity Tracker intervention taught participants to use a multicomponent intervention that connects person-centered systems solutions combined with visual feedback from a mobile activity tracker to achieve daily step goals. Results: Fifty-three participants (mean age 65 years, 66% male, and 57% white) participated with 27 in the intervention and 26 in the control group. The study protocol was feasible to deliver with high adherence to the protocol in both groups. The intervention group increased daily steps at 3 months (mean difference, 608; standard error = 283, P =.03) compared to the control group. The secondary outcome of heart rate decreased for the intervention group (baseline [mean] 74.4+ 10.8 [standard deviation, SD;] vs 6 months [mean] 67.6+ 11.3 [SD]; P =.002) compared to the control group (baseline [mean] 70.67+ 10.4 [SD]; vs 6 months [mean] 70.2 + 11.1 [SD]; P =.83). Conclusions: SystemCHANGE™ + Activity Tracker intervention appears to be feasible and efficacious for increasing daily steps in older kidney recipients.","author":[{"dropping-particle":"","family":"O’Brien","given":"Tara","non-dropping-particle":"","parse-names":false,"suffix":""},{"dropping-particle":"","family":"Russell","given":"Cynthia L.","non-dropping-particle":"","parse-names":false,"suffix":""},{"dropping-particle":"","family":"Tan","given":"Alai","non-dropping-particle":"","parse-names":false,"suffix":""},{"dropping-particle":"","family":"Mion","given":"Lorraine","non-dropping-particle":"","parse-names":false,"suffix":""},{"dropping-particle":"","family":"Rose","given":"Karen","non-dropping-particle":"","parse-names":false,"suffix":""},{"dropping-particle":"","family":"Focht","given":"Brian","non-dropping-particle":"","parse-names":false,"suffix":""},{"dropping-particle":"","family":"Daloul","given":"Reem","non-dropping-particle":"","parse-names":false,"suffix":""},{"dropping-particle":"","family":"Hathaway","given":"Donna","non-dropping-particle":"","parse-names":false,"suffix":""}],"container-title":"Progress in Transplantation","id":"ITEM-7","issue":"4","issued":{"date-parts":[["2020"]]},"page":"306-314","title":"A Pilot Randomized Controlled Trial Using SystemCHANGE™ Approach to Increase Physical Activity in Older Kidney Transplant Recipients","type":"article-journal","volume":"30"},"uris":["http://www.mendeley.com/documents/?uuid=c96be4e3-f8ed-4d0b-affe-665641b86cee"]}],"mendeley":{"formattedCitation":"&lt;sup&gt;25,27,36–40&lt;/sup&gt;","plainTextFormattedCitation":"25,27,36–40","previouslyFormattedCitation":"&lt;sup&gt;25,27,35–39&lt;/sup&gt;"},"properties":{"noteIndex":0},"schema":"https://github.com/citation-style-language/schema/raw/master/csl-citation.json"}</w:instrText>
      </w:r>
      <w:r>
        <w:fldChar w:fldCharType="separate"/>
      </w:r>
      <w:r w:rsidRPr="00821369">
        <w:rPr>
          <w:noProof/>
          <w:vertAlign w:val="superscript"/>
        </w:rPr>
        <w:t>25,27,36–40</w:t>
      </w:r>
      <w:r>
        <w:fldChar w:fldCharType="end"/>
      </w:r>
      <w:r>
        <w:t xml:space="preserve">, such as motivational interviewing, prompt self-monitoring of behaviour/ behavioural outcome, feedback on performance, plan social support/social change amongst others. These behaviour change techniques are likely to have contributed to improvements in outcomes that are pertinent to weight related outcomes </w:t>
      </w:r>
      <w:r>
        <w:fldChar w:fldCharType="begin" w:fldLock="1"/>
      </w:r>
      <w:r>
        <w:instrText>ADDIN CSL_CITATION {"citationItems":[{"id":"ITEM-1","itemData":{"DOI":"10.1097/TP.0000000000002969","ISBN":"0000000000","ISSN":"00411337","PMID":"31568390","abstract":"Background. New-onset diabetes is common after kidney transplantation, but the benefit of lifestyle intervention to improve glucose metabolism posttransplantation is unproven. Methods. We conducted a single-center, randomized controlled trial involving 130 nondiabetic kidney transplant recipients with stable function between 3 and 24 months post-transplantation. Participants were randomly assigned in a 1:1 ratio to receive active intervention (lifestyle advice delivered by renal dietitians using behavior change techniques) versus passive intervention (leaflet advice alone). Primary outcome was 6-month change in insulin secretion, insulin sensitivity, and disposition index. Secondary outcomes included patient-reported outcomes, cardiometabolic parameters, clinical outcomes, and safety endpoints. Results. Between August 17, 2015 and December 18, 2017, 130 individuals were recruited, of whom 103 completed the study (drop-out rate 20.8%). Active versus passive intervention was not associated with any change in glucose metabolism: insulin secretion (mean difference, -446; 95% confidence interval [CI], -3184 to 2292; P = 0.748), insulin sensitivity (mean difference, -0.45; 95% CI, -1.34 to 0.44; P = 0.319), or disposition index (mean difference, -940; 95% CI, -5655 to 3775; P = 0.693). Clinically, active versus passive lifestyle intervention resulted in reduced incidence of posttransplantation diabetes (7.6% versus 15.6%, respectively, P = 0.123), reduction in fat mass (mean difference, -1.537 kg; 95% CI, -2.947 to -0.127; P = 0.033), and improvement in weight (mean difference, -2.47 kg; 95% CI, -4.01 to -0.92; P = 0.002). No serious adverse events were noted. Conclusions. Active lifestyle intervention led by renal dietitians did not improve surrogate markers of glucose metabolism. Further investigation is warranted to determine if clinical outcomes can be improved using this methodology.","author":[{"dropping-particle":"","family":"Kuningas","given":"Kulli","non-dropping-particle":"","parse-names":false,"suffix":""},{"dropping-particle":"","family":"Driscoll","given":"Joanne","non-dropping-particle":"","parse-names":false,"suffix":""},{"dropping-particle":"","family":"Mair","given":"Reena","non-dropping-particle":"","parse-names":false,"suffix":""},{"dropping-particle":"","family":"Smith","given":"Helen","non-dropping-particle":"","parse-names":false,"suffix":""},{"dropping-particle":"","family":"Dutton","given":"Mary","non-dropping-particle":"","parse-names":false,"suffix":""},{"dropping-particle":"","family":"Day","given":"Edward","non-dropping-particle":"","parse-names":false,"suffix":""},{"dropping-particle":"","family":"Sharif","given":"Adnan","non-dropping-particle":"","parse-names":false,"suffix":""},{"dropping-particle":"","family":"Sharif","given":"Adnan","non-dropping-particle":"","parse-names":false,"suffix":""}],"container-title":"Transplantation","id":"ITEM-1","issue":"7","issued":{"date-parts":[["2020"]]},"page":"1491-1499","title":"Comparing glycaemic benefits of active versus passive lifestyle intervention in kidney allograft recipients: A randomized controlled trial","type":"article-journal","volume":"104"},"uris":["http://www.mendeley.com/documents/?uuid=ce372b12-f68d-454b-93c7-2cff170abff3"]},{"id":"ITEM-2","itemData":{"DOI":"10.3389/fnut.2022.887580","abstract":" Half of kidney transplant recipients (KTRs) gain more than 5% of their body weight in the first year following transplantation. KTRs have requested support with physical activity (PA) and weight gain prevention, but there is no routine care offered. There are few high-quality studies investigating the clinical value of diet, PA or combined interventions to prevent weight gain. The development and evaluation of theoretically informed complex-interventions to mitigate weight gain are warranted. The aims of this mixed-methods randomized controlled trial (RCT) were to explore the feasibility, acceptability and user-experience of a digital healthcare intervention (DHI) designed to prevent post-transplant weight gain, in preparation for a large multi-center trial. New KTRs (&amp;lt;3 months) with access to an internet compatible device were recruited from a London transplant center. The usual care (UC) group received standard dietary and PA advice. The intervention group (IG) received access to a 12-week DHI designed to prevent post-transplant weight gain. Primary feasibility outcomes included screening, recruitment, retention, adherence, safety and hospitalizations and engagement and experience with the DHI. Secondary outcomes (anthropometrics, bioimpedance, arterial stiffness, 6-minute walk distance and questionnaires) were measured at baseline, 3- and 12-months. 38 KTRs were screened, of which 32 (84.2%) were eligible, and of those 20 (62.5%) consented, with 17 participants (85%) completing baseline assessment (Median 49 years, 58.8% male, Median 62 days post-transplant). Participants were randomized using a computer-generated list ( n = 9 IG, n = 8 UC). Retention at 12-months was 13 (76.4%) ( n = 6 IG, n = 7 UC). All a priori progression criteria were achieved. There were no associated adverse events. Reflexive thematic analysis revealed four themes regarding trial participation and experience whilst using the DHI. Halting recruitment due to COVID-19 resulted in the recruitment of 40% of the target sample size. Mixed-methods data provided important insights for future trial design. A definitive RCT is warranted and welcomed by KTRs. ","author":[{"dropping-particle":"","family":"Castle","given":"Ellen M.","non-dropping-particle":"","parse-names":false,"suffix":""},{"dropping-particle":"","family":"Dijk","given":"Giulia","non-dropping-particle":"","parse-names":false,"suffix":""},{"dropping-particle":"","family":"Asgari","given":"Elham","non-dropping-particle":"","parse-names":false,"suffix":""},{"dropping-particle":"","family":"Shah","given":"Sapna","non-dropping-particle":"","parse-names":false,"suffix":""},{"dropping-particle":"","family":"Phillips","given":"Rachel","non-dropping-particle":"","parse-names":false,"suffix":""},{"dropping-particle":"","family":"Greenwood","given":"James","non-dropping-particle":"","parse-names":false,"suffix":""},{"dropping-particle":"","family":"Bramham","given":"Kate","non-dropping-particle":"","parse-names":false,"suffix":""},{"dropping-particle":"","family":"Chilcot","given":"Joseph","non-dropping-particle":"","parse-names":false,"suffix":""},{"dropping-particle":"","family":"Greenwood","given":"Sharlene A.","non-dropping-particle":"","parse-names":false,"suffix":""}],"container-title":"Frontiers in Nutrition","id":"ITEM-2","issue":"May","issued":{"date-parts":[["2022"]]},"page":"1-18","title":"The Feasibility and User-Experience of a Digital Health Intervention Designed to Prevent Weight Gain in New Kidney Transplant Recipients—The ExeRTiOn2 Trial","type":"article-journal","volume":"9"},"uris":["http://www.mendeley.com/documents/?uuid=c5f074b7-e329-4939-9c97-e2a72ca9fd18"]}],"mendeley":{"formattedCitation":"&lt;sup&gt;27,38&lt;/sup&gt;","plainTextFormattedCitation":"27,38","previouslyFormattedCitation":"&lt;sup&gt;27,37&lt;/sup&gt;"},"properties":{"noteIndex":0},"schema":"https://github.com/citation-style-language/schema/raw/master/csl-citation.json"}</w:instrText>
      </w:r>
      <w:r>
        <w:fldChar w:fldCharType="separate"/>
      </w:r>
      <w:r w:rsidRPr="00821369">
        <w:rPr>
          <w:noProof/>
          <w:vertAlign w:val="superscript"/>
        </w:rPr>
        <w:t>27,38</w:t>
      </w:r>
      <w:r>
        <w:fldChar w:fldCharType="end"/>
      </w:r>
      <w:r>
        <w:t xml:space="preserve"> or physical activity/function outcomes </w:t>
      </w:r>
      <w:r>
        <w:fldChar w:fldCharType="begin" w:fldLock="1"/>
      </w:r>
      <w:r>
        <w:instrText>ADDIN CSL_CITATION {"citationItems":[{"id":"ITEM-1","itemData":{"DOI":"10.1111/tri.13570","ISSN":"14322277","PMID":"31925833","abstract":"Kidney transplant recipients (KTRs) and liver transplant recipients (LTRs) have significant post-transplant weight gain and low physical activity. We conducted a home-based, remotely monitored intervention using wearable accelerometer devices to promote post-transplant physical activity. We randomized 61 KTRs and 66 LTRs within 24 months of transplant to: (i) control, (ii) accelerometer or (iii) intervention: accelerometer paired with financial incentives and health engagement questions to increase steps by 15% from baseline every 2 weeks. The primary outcome was weight change. A co-primary outcome for the two accelerometer arms was steps. Participants were recruited at a median of 9.5 [3–17] months post-transplant. At 3 months, there were no significant differences in weight change across the three arms. The intervention arm was more likely to achieve ≥7000 steps compared to control with device (OR 1.99, 95% CI: 1.03–3.87); effect remained significant after adjusting for demographics, allograft, time from transplant and baseline weight. Adherence to target step goals was 74% in the intervention arm, 84% of health engagement questions were answered correctly. A pilot study with financial incentives and health engagement questions was feasible and led KTRs and LTRs to walk more, but did not affect weight. A definitive trial is warranted.","author":[{"dropping-particle":"","family":"Serper","given":"Marina","non-dropping-particle":"","parse-names":false,"suffix":""},{"dropping-particle":"","family":"Barankay","given":"Iwan","non-dropping-particle":"","parse-names":false,"suffix":""},{"dropping-particle":"","family":"Chadha","given":"Sakshum","non-dropping-particle":"","parse-names":false,"suffix":""},{"dropping-particle":"","family":"Shults","given":"Justine","non-dropping-particle":"","parse-names":false,"suffix":""},{"dropping-particle":"","family":"Jones","given":"Lauren S.","non-dropping-particle":"","parse-names":false,"suffix":""},{"dropping-particle":"","family":"Olthoff","given":"Kim M.","non-dropping-particle":"","parse-names":false,"suffix":""},{"dropping-particle":"","family":"Reese","given":"Peter P.","non-dropping-particle":"","parse-names":false,"suffix":""}],"container-title":"Transplant International","id":"ITEM-1","issue":"6","issued":{"date-parts":[["2020"]]},"page":"632-643","title":"A randomized, controlled, behavioral intervention to promote walking after abdominal organ transplantation: results from the LIFT study","type":"article-journal","volume":"33"},"uris":["http://www.mendeley.com/documents/?uuid=cfc472ed-48a9-4132-a9a6-d7a557070069"]},{"id":"ITEM-2","itemData":{"DOI":"10.3389/fnut.2022.887580","abstract":" Half of kidney transplant recipients (KTRs) gain more than 5% of their body weight in the first year following transplantation. KTRs have requested support with physical activity (PA) and weight gain prevention, but there is no routine care offered. There are few high-quality studies investigating the clinical value of diet, PA or combined interventions to prevent weight gain. The development and evaluation of theoretically informed complex-interventions to mitigate weight gain are warranted. The aims of this mixed-methods randomized controlled trial (RCT) were to explore the feasibility, acceptability and user-experience of a digital healthcare intervention (DHI) designed to prevent post-transplant weight gain, in preparation for a large multi-center trial. New KTRs (&amp;lt;3 months) with access to an internet compatible device were recruited from a London transplant center. The usual care (UC) group received standard dietary and PA advice. The intervention group (IG) received access to a 12-week DHI designed to prevent post-transplant weight gain. Primary feasibility outcomes included screening, recruitment, retention, adherence, safety and hospitalizations and engagement and experience with the DHI. Secondary outcomes (anthropometrics, bioimpedance, arterial stiffness, 6-minute walk distance and questionnaires) were measured at baseline, 3- and 12-months. 38 KTRs were screened, of which 32 (84.2%) were eligible, and of those 20 (62.5%) consented, with 17 participants (85%) completing baseline assessment (Median 49 years, 58.8% male, Median 62 days post-transplant). Participants were randomized using a computer-generated list ( n = 9 IG, n = 8 UC). Retention at 12-months was 13 (76.4%) ( n = 6 IG, n = 7 UC). All a priori progression criteria were achieved. There were no associated adverse events. Reflexive thematic analysis revealed four themes regarding trial participation and experience whilst using the DHI. Halting recruitment due to COVID-19 resulted in the recruitment of 40% of the target sample size. Mixed-methods data provided important insights for future trial design. A definitive RCT is warranted and welcomed by KTRs. ","author":[{"dropping-particle":"","family":"Castle","given":"Ellen M.","non-dropping-particle":"","parse-names":false,"suffix":""},{"dropping-particle":"","family":"Dijk","given":"Giulia","non-dropping-particle":"","parse-names":false,"suffix":""},{"dropping-particle":"","family":"Asgari","given":"Elham","non-dropping-particle":"","parse-names":false,"suffix":""},{"dropping-particle":"","family":"Shah","given":"Sapna","non-dropping-particle":"","parse-names":false,"suffix":""},{"dropping-particle":"","family":"Phillips","given":"Rachel","non-dropping-particle":"","parse-names":false,"suffix":""},{"dropping-particle":"","family":"Greenwood","given":"James","non-dropping-particle":"","parse-names":false,"suffix":""},{"dropping-particle":"","family":"Bramham","given":"Kate","non-dropping-particle":"","parse-names":false,"suffix":""},{"dropping-particle":"","family":"Chilcot","given":"Joseph","non-dropping-particle":"","parse-names":false,"suffix":""},{"dropping-particle":"","family":"Greenwood","given":"Sharlene A.","non-dropping-particle":"","parse-names":false,"suffix":""}],"container-title":"Frontiers in Nutrition","id":"ITEM-2","issue":"May","issued":{"date-parts":[["2022"]]},"page":"1-18","title":"The Feasibility and User-Experience of a Digital Health Intervention Designed to Prevent Weight Gain in New Kidney Transplant Recipients—The ExeRTiOn2 Trial","type":"article-journal","volume":"9"},"uris":["http://www.mendeley.com/documents/?uuid=c5f074b7-e329-4939-9c97-e2a72ca9fd18"]},{"id":"ITEM-3","itemData":{"DOI":"10.1177/1526924820958148","ISSN":"15269248","PMID":"32912051","abstract":"Background: Cardiovascular disease is the leading cause of death in kidney transplant recipients. Physical activity after transplant is the most modifiable nonpharmacological factor for improving cardiovascular outcomes. Few studies have tested walking interventions to enhance daily steps and health outcomes in older kidney recipients. Methods: Using a pilot feasibility randomized clinical trial design, we tested the feasibility and efficacy of a 6-month SystemCHANGE™ (Change Habits by Applying New Goals and Experience) + Activity Tracker intervention for recruitment, retention, daily steps, and health outcomes (blood pressure, heart rate, body mass index, waist circumference, and physical function). The SystemCHANGE™ + Activity Tracker intervention taught participants to use a multicomponent intervention that connects person-centered systems solutions combined with visual feedback from a mobile activity tracker to achieve daily step goals. Results: Fifty-three participants (mean age 65 years, 66% male, and 57% white) participated with 27 in the intervention and 26 in the control group. The study protocol was feasible to deliver with high adherence to the protocol in both groups. The intervention group increased daily steps at 3 months (mean difference, 608; standard error = 283, P =.03) compared to the control group. The secondary outcome of heart rate decreased for the intervention group (baseline [mean] 74.4+ 10.8 [standard deviation, SD;] vs 6 months [mean] 67.6+ 11.3 [SD]; P =.002) compared to the control group (baseline [mean] 70.67+ 10.4 [SD]; vs 6 months [mean] 70.2 + 11.1 [SD]; P =.83). Conclusions: SystemCHANGE™ + Activity Tracker intervention appears to be feasible and efficacious for increasing daily steps in older kidney recipients.","author":[{"dropping-particle":"","family":"O’Brien","given":"Tara","non-dropping-particle":"","parse-names":false,"suffix":""},{"dropping-particle":"","family":"Russell","given":"Cynthia L.","non-dropping-particle":"","parse-names":false,"suffix":""},{"dropping-particle":"","family":"Tan","given":"Alai","non-dropping-particle":"","parse-names":false,"suffix":""},{"dropping-particle":"","family":"Mion","given":"Lorraine","non-dropping-particle":"","parse-names":false,"suffix":""},{"dropping-particle":"","family":"Rose","given":"Karen","non-dropping-particle":"","parse-names":false,"suffix":""},{"dropping-particle":"","family":"Focht","given":"Brian","non-dropping-particle":"","parse-names":false,"suffix":""},{"dropping-particle":"","family":"Daloul","given":"Reem","non-dropping-particle":"","parse-names":false,"suffix":""},{"dropping-particle":"","family":"Hathaway","given":"Donna","non-dropping-particle":"","parse-names":false,"suffix":""}],"container-title":"Progress in Transplantation","id":"ITEM-3","issue":"4","issued":{"date-parts":[["2020"]]},"page":"306-314","title":"A Pilot Randomized Controlled Trial Using SystemCHANGE™ Approach to Increase Physical Activity in Older Kidney Transplant Recipients","type":"article-journal","volume":"30"},"uris":["http://www.mendeley.com/documents/?uuid=c96be4e3-f8ed-4d0b-affe-665641b86cee"]}],"mendeley":{"formattedCitation":"&lt;sup&gt;36,38,40&lt;/sup&gt;","plainTextFormattedCitation":"36,38,40","previouslyFormattedCitation":"&lt;sup&gt;35,37,39&lt;/sup&gt;"},"properties":{"noteIndex":0},"schema":"https://github.com/citation-style-language/schema/raw/master/csl-citation.json"}</w:instrText>
      </w:r>
      <w:r>
        <w:fldChar w:fldCharType="separate"/>
      </w:r>
      <w:r w:rsidRPr="00821369">
        <w:rPr>
          <w:noProof/>
          <w:vertAlign w:val="superscript"/>
        </w:rPr>
        <w:t>36,38,40</w:t>
      </w:r>
      <w:r>
        <w:fldChar w:fldCharType="end"/>
      </w:r>
      <w:r>
        <w:t>. “Second generation” behavioural therapies that incorporate additional cognitive strategies such as Cognitive Behavioural Therapy can be helpful in making sustainable changes in lifestyle. A small scale pilot study found 100% adherence (compared to 25% in the control group) to a 12 month rehabilitation program that incorporated cognitive behavioural therapy in kidney transplant recipients with a BMI of over 30kg/m</w:t>
      </w:r>
      <w:r w:rsidRPr="004A1C97">
        <w:rPr>
          <w:vertAlign w:val="superscript"/>
        </w:rPr>
        <w:t>2</w:t>
      </w:r>
      <w:r>
        <w:t xml:space="preserve"> </w:t>
      </w:r>
      <w:r>
        <w:fldChar w:fldCharType="begin" w:fldLock="1"/>
      </w:r>
      <w:r>
        <w:instrText>ADDIN CSL_CITATION {"citationItems":[{"id":"ITEM-1","itemData":{"DOI":"10.1016/j.transproceed.2014.05.085","ISSN":"18732623","PMID":"25498067","abstract":"Introduction. Physical rehabilitation programs for kidney transplant recipients are not routinely personalized to patients' physical and emotional health, which could result in a potentially limited health impact, shorter-term participation, and an overall low success rate. Materials and Methods. We conducted an internal review boardeapproved randomized prospective study involving a 12-month supervised multidisciplinary rehabilitation program (GH method) initiated after kidney transplantation in obese recipients (body mass index &gt;30). The new method incorporates 3 major components: physical exercise, behavioral interventions, and nutritional guidance. We compared 9 patients who underwent supervised rehabilitation with 8 patients who underwent standard care. Patients were followed up after the start of the intervention, and multiple assessments were performed. Results. The adherence to training and follow-up was 100% in the intervention group, compared with 25% at 12 months in the control group. There was a trend for a higher glomerular filtration rate in the intervention group compared with the control group (55.5 ± 18.6 mL/min/1.73 m2 vs 38.8 ± 18.9 mL/min/1.73 m2, P = .06). The quality of life (SF-36) mean score improved more in the intervention group compared with the control group (583 ± 13 vs 436 ± 22, P = .008). There was a significantly higher employment rate in the intervention group, 77.7% at 12 months compared with 12.5% in the control group (P = .02). Conclusions. Our preliminary results suggest that this comprehensive approach to physical rehabilitation can improve adherence, kidney function, quality of life, and employment rate for obese patients after kidney transplantation.","author":[{"dropping-particle":"","family":"Tzvetanov","given":"I.","non-dropping-particle":"","parse-names":false,"suffix":""},{"dropping-particle":"","family":"West-Thielke","given":"P.","non-dropping-particle":"","parse-names":false,"suffix":""},{"dropping-particle":"","family":"D'Amico","given":"G.","non-dropping-particle":"","parse-names":false,"suffix":""},{"dropping-particle":"","family":"Johnsen","given":"M.","non-dropping-particle":"","parse-names":false,"suffix":""},{"dropping-particle":"","family":"Ladik","given":"A.","non-dropping-particle":"","parse-names":false,"suffix":""},{"dropping-particle":"","family":"Hachaj","given":"G.","non-dropping-particle":"","parse-names":false,"suffix":""},{"dropping-particle":"","family":"Grazman","given":"M.","non-dropping-particle":"","parse-names":false,"suffix":""},{"dropping-particle":"","family":"Heller","given":"R. U.","non-dropping-particle":"","parse-names":false,"suffix":""},{"dropping-particle":"","family":"Fernhall","given":"B.","non-dropping-particle":"","parse-names":false,"suffix":""},{"dropping-particle":"","family":"Daviglus","given":"M. L.","non-dropping-particle":"","parse-names":false,"suffix":""},{"dropping-particle":"","family":"Solaro","given":"R. J.","non-dropping-particle":"","parse-names":false,"suffix":""},{"dropping-particle":"","family":"Oberholzer","given":"J.","non-dropping-particle":"","parse-names":false,"suffix":""},{"dropping-particle":"","family":"Gallon","given":"L.","non-dropping-particle":"","parse-names":false,"suffix":""},{"dropping-particle":"","family":"Benedetti","given":"E.","non-dropping-particle":"","parse-names":false,"suffix":""}],"container-title":"Transplantation Proceedings","id":"ITEM-1","issue":"10","issued":{"date-parts":[["2014"]]},"page":"3431-3437","publisher":"Elsevier Inc","title":"A novel and personalized rehabilitation program for obese kidney transplant recipients","type":"article-journal","volume":"46"},"uris":["http://www.mendeley.com/documents/?uuid=f2981f3a-fdd8-462b-9135-d31dceb59d63"]}],"mendeley":{"formattedCitation":"&lt;sup&gt;26&lt;/sup&gt;","plainTextFormattedCitation":"26","previouslyFormattedCitation":"&lt;sup&gt;26&lt;/sup&gt;"},"properties":{"noteIndex":0},"schema":"https://github.com/citation-style-language/schema/raw/master/csl-citation.json"}</w:instrText>
      </w:r>
      <w:r>
        <w:fldChar w:fldCharType="separate"/>
      </w:r>
      <w:r w:rsidRPr="00D37D4E">
        <w:rPr>
          <w:noProof/>
          <w:vertAlign w:val="superscript"/>
        </w:rPr>
        <w:t>26</w:t>
      </w:r>
      <w:r>
        <w:fldChar w:fldCharType="end"/>
      </w:r>
      <w:r>
        <w:t xml:space="preserve">.  As highlighted above, any impact from behaviour change must be reinforced continuously or periodically rather than a one-off intervention. This would be consistent with evidence relating to the sustainability of behaviour change intervention for weight management in the general population </w:t>
      </w:r>
      <w:r>
        <w:fldChar w:fldCharType="begin" w:fldLock="1"/>
      </w:r>
      <w:r>
        <w:instrText>ADDIN CSL_CITATION {"citationItems":[{"id":"ITEM-1","itemData":{"DOI":"10.1159/000484933","ISSN":"16624033","PMID":"29237167","abstract":"Health behavior change is central in obesity management. Due to its complexity, there has been a growing body of research on: i) the factors that predict the adoption and maintenance of health behaviors, ii) the development and testing of theories that conceptualize relationships among these factors and with health behaviors, and iii) how these factors can be implemented in effective behavior change interventions, considering characteristics of the content (techniques) and delivery. This short review provides an overview of advances in behavior change science theories and methods, focusing on obesity management, and includes a discussion of the main challenges imposed by this research field.","author":[{"dropping-particle":"","family":"Teixeira","given":"Pedro J.","non-dropping-particle":"","parse-names":false,"suffix":""},{"dropping-particle":"","family":"Marques","given":"Marta M.","non-dropping-particle":"","parse-names":false,"suffix":""}],"container-title":"Obesity Facts","id":"ITEM-1","issue":"6","issued":{"date-parts":[["2018"]]},"page":"666-673","title":"Health Behavior Change for Obesity Management","type":"article-journal","volume":"10"},"uris":["http://www.mendeley.com/documents/?uuid=f3914ba4-d662-442e-9850-716748464e50"]}],"mendeley":{"formattedCitation":"&lt;sup&gt;41&lt;/sup&gt;","plainTextFormattedCitation":"41","previouslyFormattedCitation":"&lt;sup&gt;40&lt;/sup&gt;"},"properties":{"noteIndex":0},"schema":"https://github.com/citation-style-language/schema/raw/master/csl-citation.json"}</w:instrText>
      </w:r>
      <w:r>
        <w:fldChar w:fldCharType="separate"/>
      </w:r>
      <w:r w:rsidRPr="00821369">
        <w:rPr>
          <w:noProof/>
          <w:vertAlign w:val="superscript"/>
        </w:rPr>
        <w:t>41</w:t>
      </w:r>
      <w:r>
        <w:fldChar w:fldCharType="end"/>
      </w:r>
      <w:r>
        <w:t xml:space="preserve">. </w:t>
      </w:r>
    </w:p>
    <w:p w14:paraId="0A945F63" w14:textId="77777777" w:rsidR="00A51E53" w:rsidRPr="00DA4E6B" w:rsidRDefault="00A51E53" w:rsidP="00A51E53">
      <w:pPr>
        <w:pStyle w:val="Heading3"/>
        <w:spacing w:before="0" w:after="160"/>
      </w:pPr>
      <w:bookmarkStart w:id="97" w:name="_Toc128330003"/>
      <w:r>
        <w:t>6.6 Role of plant-based diets</w:t>
      </w:r>
      <w:bookmarkEnd w:id="97"/>
    </w:p>
    <w:p w14:paraId="791BFEBA" w14:textId="77777777" w:rsidR="00A51E53" w:rsidRDefault="00A51E53" w:rsidP="008D4BDF">
      <w:pPr>
        <w:spacing w:line="276" w:lineRule="auto"/>
        <w:jc w:val="both"/>
      </w:pPr>
      <w:r>
        <w:t xml:space="preserve">Plant based diets are defined as “dietary patterns that have a greater emphasis on foods derived from plants (such as fruits, vegetables, wholegrains, pulses, nuts, seeds and oils)” by the British Nutrition Foundation </w:t>
      </w:r>
      <w:r>
        <w:fldChar w:fldCharType="begin" w:fldLock="1"/>
      </w:r>
      <w:r>
        <w:instrText>ADDIN CSL_CITATION {"citationItems":[{"id":"ITEM-1","itemData":{"URL":"https://www.nutrition.org.uk/putting-it-into-practice/plant-based-diets/plant-based-diets/","accessed":{"date-parts":[["2022","11","1"]]},"id":"ITEM-1","issued":{"date-parts":[["0"]]},"title":"British Nutrition Foundation","type":"webpage"},"uris":["http://www.mendeley.com/documents/?uuid=eb961919-03c1-4943-ab8a-a602f2926137"]}],"mendeley":{"formattedCitation":"&lt;sup&gt;42&lt;/sup&gt;","plainTextFormattedCitation":"42","previouslyFormattedCitation":"&lt;sup&gt;41&lt;/sup&gt;"},"properties":{"noteIndex":0},"schema":"https://github.com/citation-style-language/schema/raw/master/csl-citation.json"}</w:instrText>
      </w:r>
      <w:r>
        <w:fldChar w:fldCharType="separate"/>
      </w:r>
      <w:r w:rsidRPr="00821369">
        <w:rPr>
          <w:noProof/>
          <w:vertAlign w:val="superscript"/>
        </w:rPr>
        <w:t>42</w:t>
      </w:r>
      <w:r>
        <w:fldChar w:fldCharType="end"/>
      </w:r>
      <w:r>
        <w:t xml:space="preserve">.  They can include small amounts of animal foods such as meat, fish, poultry, </w:t>
      </w:r>
      <w:proofErr w:type="gramStart"/>
      <w:r>
        <w:t>eggs</w:t>
      </w:r>
      <w:proofErr w:type="gramEnd"/>
      <w:r>
        <w:t xml:space="preserve"> and dairy products. Examples of dietary patterns that are plant based are: the Mediterranean diet; the DASH diet; vegetarianism and veganism.  </w:t>
      </w:r>
    </w:p>
    <w:p w14:paraId="42081FE4" w14:textId="77777777" w:rsidR="00A51E53" w:rsidRDefault="00A51E53" w:rsidP="008D4BDF">
      <w:pPr>
        <w:autoSpaceDE w:val="0"/>
        <w:autoSpaceDN w:val="0"/>
        <w:adjustRightInd w:val="0"/>
        <w:spacing w:line="276" w:lineRule="auto"/>
        <w:jc w:val="both"/>
      </w:pPr>
      <w:r>
        <w:t xml:space="preserve">Published research with kidney transplant recipients and plant-based diets are limited to observational studies.  A cohort population of between 468 and 632 kidney transplant recipients (&gt;1 year) with a median follow-up of between 4 and 5.4 years has revealed associations between a Mediterranean Diet and a lower risk of transplant outcomes of graft failure, kidney function decline, graft loss </w:t>
      </w:r>
      <w:r>
        <w:fldChar w:fldCharType="begin" w:fldLock="1"/>
      </w:r>
      <w:r>
        <w:instrText>ADDIN CSL_CITATION {"citationItems":[{"id":"ITEM-1","itemData":{"DOI":"10.2215/CJN.06710619","ISSN":"1555905X","PMID":"31896540","abstract":"Background and objectives Despite improvement of short-term graft survival over recent years, long-term graft survival after kidney transplantation has not improved. Studies in the general population suggest the Mediterranean diet benefits kidney function preservation. We investigated whether adherence to the Mediterranean diet is associated with kidney outcomes in kidney transplant recipients. Design, setting, participants, &amp; measurements We included 632 adult kidney transplant recipients with a functioning graft for ≥1 year. Dietary intake was inquired using a 177-item validated food frequency questionnaire. Adherence to the Mediterranean diet was assessed using a nine-point Mediterranean Diet Score. Primary end point of the study was graft failure and secondary end points included kidney function decline (doubling of serum creatinine or graft failure) and graft loss (graft failure or death with a functioning graft). Cox regression analyses were used to prospectively study the associations of the Mediterranean Diet Score with study end points. Results During median follow-up of 5.4 (interquartile range, 4.9–6.0) years, 76 participants developed graft failure, 119 developed kidney function decline, and 181 developed graft loss. The Mediterranean Diet Score was inversely associated with all study end points (graft failure: hazard ratio [HR], 0.68; 95% confidence interval [95% CI], 0.50 to 0.91; kidney function decline: HR, 0.68; 95% CI, 0.55 to 0.85; and graft loss: HR, 0.74; 95% CI, 0.63 to 0.88 per two-point increase in Mediterranean Diet Score) independent of potential confounders. We identified 24-hour urinary protein excretion and time since transplantation to be an effect modifier, with stronger inverse associations between the Mediterranean Diet Score and kidney outcomes observed in participants with higher urinary protein excretion and participants transplanted more recently. Conclusions Adherence to the Mediterranean diet is associated with better kidney function outcomes in kidney transplant recipients.","author":[{"dropping-particle":"","family":"Gomes-Neto","given":"António W.","non-dropping-particle":"","parse-names":false,"suffix":""},{"dropping-particle":"","family":"Osté","given":"Maryse C.J.","non-dropping-particle":"","parse-names":false,"suffix":""},{"dropping-particle":"","family":"Sotomayor","given":"Camilo G.","non-dropping-particle":"","parse-names":false,"suffix":""},{"dropping-particle":"","family":"Berg","given":"Else","non-dropping-particle":"van den","parse-names":false,"suffix":""},{"dropping-particle":"","family":"Geleijnse","given":"Johanna Marianna","non-dropping-particle":"","parse-names":false,"suffix":""},{"dropping-particle":"","family":"Berger","given":"Stefan P.","non-dropping-particle":"","parse-names":false,"suffix":""},{"dropping-particle":"","family":"Gans","given":"Reinold O.B.","non-dropping-particle":"","parse-names":false,"suffix":""},{"dropping-particle":"","family":"Bakker","given":"Stephan J.L.","non-dropping-particle":"","parse-names":false,"suffix":""},{"dropping-particle":"","family":"Navis","given":"Gerjan J.","non-dropping-particle":"","parse-names":false,"suffix":""}],"container-title":"Clinical Journal of the American Society of Nephrology","id":"ITEM-1","issue":"2","issued":{"date-parts":[["2020"]]},"page":"238-246","title":"Mediterranean style diet and kidney function loss in kidney transplant recipients","type":"article-journal","volume":"15"},"uris":["http://www.mendeley.com/documents/?uuid=ceb0c540-b140-41e3-893b-68407e7a0414"]}],"mendeley":{"formattedCitation":"&lt;sup&gt;43&lt;/sup&gt;","plainTextFormattedCitation":"43","previouslyFormattedCitation":"&lt;sup&gt;42&lt;/sup&gt;"},"properties":{"noteIndex":0},"schema":"https://github.com/citation-style-language/schema/raw/master/csl-citation.json"}</w:instrText>
      </w:r>
      <w:r>
        <w:fldChar w:fldCharType="separate"/>
      </w:r>
      <w:r w:rsidRPr="00821369">
        <w:rPr>
          <w:noProof/>
          <w:vertAlign w:val="superscript"/>
        </w:rPr>
        <w:t>43</w:t>
      </w:r>
      <w:r>
        <w:fldChar w:fldCharType="end"/>
      </w:r>
      <w:r>
        <w:t xml:space="preserve"> and diabetes post transplantation </w:t>
      </w:r>
      <w:r>
        <w:fldChar w:fldCharType="begin" w:fldLock="1"/>
      </w:r>
      <w:r>
        <w:instrText>ADDIN CSL_CITATION {"citationItems":[{"id":"ITEM-1","itemData":{"DOI":"10.1136/bmjdrc-2016-000283","ISSN":"20524897","abstract":"Objective: The incidence of new-onset diabetes after transplantation (NODAT) and premature mortality is high in renal transplant recipients (RTR). We hypothesized that a Mediterranean Style diet protects against NODAT and premature mortality in RTR. Research design and methods: A prospective cohort study of adult RTR with a functioning graft for &gt;1 year. Dietary intake was assessed with a 177- item validated food frequency questionnaire. Patients were divided based on a 9-point Mediterranean Style Diet Score (MDS): low MDS (0-4 points) versus high MDS (5-9 points). A total of 468 RTR were eligible for analyses. Logistic multivariable regression analyses were used to study the association of MDS with NODAT and Cox multivariable regression models for the association with all-cause mortality. Results: Mean±SD age was 51.3±13.2 years and 56.6% were men. About 50% of the patients had a high MDS. During median follow-up of 4.0 (IQR, 0.4-5.4) years, 22 (5%) RTR developed NODAT and 50 (11%) died. High MDS was significantly associated with both a lower risk of NODAT (HR=0.23; 95% CI 0.09 to 0.64; p=0.004) and allcause mortality (HR=0.51; 95% CI 0.29 to 0.89, p=0.02) compared to low MDS, independent of age and sex. Adjustment for other potential confounders, including total energy intake, physical activity and smoking status, did not materially change the results of the analyses. Conclusions: Dietary habits leading to high MDS were associated with lower risk of NODAT. These results suggest that healthy dietary habits are of paramount importance for RTR.","author":[{"dropping-particle":"","family":"Osté","given":"Maryse C.J.","non-dropping-particle":"","parse-names":false,"suffix":""},{"dropping-particle":"","family":"Corpeleijn","given":"Eva","non-dropping-particle":"","parse-names":false,"suffix":""},{"dropping-particle":"","family":"Navis","given":"Gerjan J.","non-dropping-particle":"","parse-names":false,"suffix":""},{"dropping-particle":"","family":"Keyzer","given":"Charlotte A.","non-dropping-particle":"","parse-names":false,"suffix":""},{"dropping-particle":"","family":"Soedamah-Muthu","given":"Sabita S.","non-dropping-particle":"","parse-names":false,"suffix":""},{"dropping-particle":"","family":"Berg","given":"Else","non-dropping-particle":"Van Den","parse-names":false,"suffix":""},{"dropping-particle":"","family":"Postmus","given":"Douwe","non-dropping-particle":"","parse-names":false,"suffix":""},{"dropping-particle":"","family":"Borst","given":"Martin H.","non-dropping-particle":"De","parse-names":false,"suffix":""},{"dropping-particle":"","family":"Kromhout","given":"Daan","non-dropping-particle":"","parse-names":false,"suffix":""},{"dropping-particle":"","family":"Bakker","given":"Stephan J.L.","non-dropping-particle":"","parse-names":false,"suffix":""}],"container-title":"BMJ Open Diabetes Research and Care","id":"ITEM-1","issue":"1","issued":{"date-parts":[["2017"]]},"page":"1-8","title":"Mediterranean style diet is associated with low risk of new-onset diabetes after renal transplantation","type":"article-journal","volume":"5"},"uris":["http://www.mendeley.com/documents/?uuid=57ea61d5-7c4d-4fce-bb56-0d178ff5e60b"]}],"mendeley":{"formattedCitation":"&lt;sup&gt;44&lt;/sup&gt;","plainTextFormattedCitation":"44","previouslyFormattedCitation":"&lt;sup&gt;43&lt;/sup&gt;"},"properties":{"noteIndex":0},"schema":"https://github.com/citation-style-language/schema/raw/master/csl-citation.json"}</w:instrText>
      </w:r>
      <w:r>
        <w:fldChar w:fldCharType="separate"/>
      </w:r>
      <w:r w:rsidRPr="00821369">
        <w:rPr>
          <w:noProof/>
          <w:vertAlign w:val="superscript"/>
        </w:rPr>
        <w:t>44</w:t>
      </w:r>
      <w:r>
        <w:fldChar w:fldCharType="end"/>
      </w:r>
      <w:r>
        <w:t xml:space="preserve">.  The same cohort found an association between a DASH Score and lower risk of renal function decline and all-cause mortality </w:t>
      </w:r>
      <w:r>
        <w:fldChar w:fldCharType="begin" w:fldLock="1"/>
      </w:r>
      <w:r>
        <w:instrText>ADDIN CSL_CITATION {"citationItems":[{"id":"ITEM-1","itemData":{"DOI":"10.1111/ajt.14707","ISSN":"16006143","PMID":"29464830","abstract":"Renal transplant recipients (RTR) are at risk of decline of graft function and premature mortality, with high blood pressure as an important risk factor for both. To study the association of the Dietary Approach to Stop Hypertension (DASH) diet with these adverse events, we conducted a prospective cohort study of adult RTR. Dietary data were collected using a validated 177-item food frequency questionnaire and an overall DASH-score was obtained. We included 632 stable RTR (mean ± standard deviation age 53.0 ± 12.7 years, 57% men). Mean DASH score was 23.8 ± 4.7. During median follow-up of 5.3 (interquartile range, 4.1-6.0) years, 119 (18.8%) RTR had renal function decline, defined as a combined endpoint of doubling of serum creatinine and death-censored graft failure, and 128 (20.3%) died. In Cox-regression analyses, RTR in the highest tertile of the DASH score had lower risk of both renal function decline (hazard ratio [HR] = 0.57; 95% confidence interval [CI], 0.33-0.96, P =.03) and all-cause mortality (HR = 0.52; 95%CI, 0.32-0.83, P =.006) compared to the lowest tertile, independent of potential confounders. Adherence to a DASH-style diet is associated with lower risk of both renal function decline and all-cause mortality. These results suggest that a healthful diet might benefit long-term outcome in RTR.","author":[{"dropping-particle":"","family":"Osté","given":"Maryse C.J.","non-dropping-particle":"","parse-names":false,"suffix":""},{"dropping-particle":"","family":"Gomes-Neto","given":"António W.","non-dropping-particle":"","parse-names":false,"suffix":""},{"dropping-particle":"","family":"Corpeleijn","given":"Eva","non-dropping-particle":"","parse-names":false,"suffix":""},{"dropping-particle":"","family":"Gans","given":"Rijk O.B.","non-dropping-particle":"","parse-names":false,"suffix":""},{"dropping-particle":"","family":"Borst","given":"Martin H.","non-dropping-particle":"de","parse-names":false,"suffix":""},{"dropping-particle":"","family":"Berg","given":"Else","non-dropping-particle":"van den","parse-names":false,"suffix":""},{"dropping-particle":"","family":"Soedamah-Muthu","given":"Sabita S.","non-dropping-particle":"","parse-names":false,"suffix":""},{"dropping-particle":"","family":"Kromhout","given":"Daan","non-dropping-particle":"","parse-names":false,"suffix":""},{"dropping-particle":"","family":"Navis","given":"Gerjan J.","non-dropping-particle":"","parse-names":false,"suffix":""},{"dropping-particle":"","family":"Bakker","given":"Stephan J.L.","non-dropping-particle":"","parse-names":false,"suffix":""}],"container-title":"American Journal of Transplantation","id":"ITEM-1","issue":"10","issued":{"date-parts":[["2018"]]},"page":"2523-2533","title":"Dietary Approach to Stop Hypertension (DASH) diet and risk of renal function decline and all-cause mortality in renal transplant recipients","type":"article-journal","volume":"18"},"uris":["http://www.mendeley.com/documents/?uuid=495996ce-9e26-4f88-aec5-626f3fa62507"]}],"mendeley":{"formattedCitation":"&lt;sup&gt;30&lt;/sup&gt;","plainTextFormattedCitation":"30","previouslyFormattedCitation":"&lt;sup&gt;30&lt;/sup&gt;"},"properties":{"noteIndex":0},"schema":"https://github.com/citation-style-language/schema/raw/master/csl-citation.json"}</w:instrText>
      </w:r>
      <w:r>
        <w:fldChar w:fldCharType="separate"/>
      </w:r>
      <w:r w:rsidRPr="00D37D4E">
        <w:rPr>
          <w:noProof/>
          <w:vertAlign w:val="superscript"/>
        </w:rPr>
        <w:t>30</w:t>
      </w:r>
      <w:r>
        <w:fldChar w:fldCharType="end"/>
      </w:r>
      <w:r>
        <w:t xml:space="preserve">. Furthermore, those with the highest tertile of DASH scores </w:t>
      </w:r>
      <w:r w:rsidRPr="00254B03">
        <w:t xml:space="preserve">had </w:t>
      </w:r>
      <w:r>
        <w:t xml:space="preserve">improved cardio metabolic features: </w:t>
      </w:r>
      <w:r w:rsidRPr="00254B03">
        <w:t>lower blood</w:t>
      </w:r>
      <w:r>
        <w:t xml:space="preserve"> </w:t>
      </w:r>
      <w:r w:rsidRPr="00254B03">
        <w:t>pressure, lower fasting triglycerides, and higher high-density</w:t>
      </w:r>
      <w:r>
        <w:t xml:space="preserve"> </w:t>
      </w:r>
      <w:r w:rsidRPr="00254B03">
        <w:t>lipoprotein</w:t>
      </w:r>
      <w:r>
        <w:t xml:space="preserve"> </w:t>
      </w:r>
      <w:r w:rsidRPr="00254B03">
        <w:t>(HDL)</w:t>
      </w:r>
      <w:r>
        <w:rPr>
          <w:rFonts w:hint="eastAsia"/>
        </w:rPr>
        <w:t xml:space="preserve"> </w:t>
      </w:r>
      <w:r w:rsidRPr="00254B03">
        <w:t>cholesterol concentrations</w:t>
      </w:r>
      <w:r>
        <w:t>, when compared to those in the lowest tertile</w:t>
      </w:r>
      <w:r w:rsidRPr="00254B03">
        <w:t>.</w:t>
      </w:r>
      <w:r>
        <w:t xml:space="preserve"> The consumption of more vegetables (but not fruit) was found to also be associated with a lower risk of post transplant diabetes, mediated by factors of the metabolic syndrome such as HDL cholesterol, triglycerides and waist circumference </w:t>
      </w:r>
      <w:r>
        <w:fldChar w:fldCharType="begin" w:fldLock="1"/>
      </w:r>
      <w:r>
        <w:instrText>ADDIN CSL_CITATION {"citationItems":[{"id":"ITEM-1","itemData":{"DOI":"10.2337/dc19-0224","ISSN":"19355548","PMID":"31296643","abstract":"OBJECTIVE Posttransplantation diabetes mellitus (PTDM) contributes to risk for cardiovascular morbidity and mortality in renal transplant recipients (RTRs). In the general population, consumption of a diet containing few fruits and vegetables predisposes to type 2 diabetes. The role of diet as a potential modifiable risk factor for PTDM has not been explored. Our focus was to investigate the prospective associations of fruit and vegetable intake with risk of PTDM in stable RTRs. RESEARCH DESIGN AND METHODS We included 472 adult RTRs who had a functioning graft ≥1 year. Fruit and vegetable intake was assessed by using a 177-item food frequency questionnaire. PTDM was defined according the American Diabetes Association's diagnostic criteria for diabetes. RESULTS During 5.2 years of follow-up, 52 RTRs (11%) developed PTDM. Fruit intake was not associated with PTDM (hazard ratio [HR] 0.90 [95% CI 0.79-1.03] per 2log g/day; P = 0.13), whereas vegetable intake was inversely associated with PTDM (HR 0.77 [95% CI 0.63-0.94] per 2log g/day; P = 0.009). Mediation analyses revealed that 650% of the association between vegetable intake and PTDM was mediated by variations in key components of the metabolic syndrome (i.e., HDL cholesterol, triglycerides, and waist circumference) as determined by the National Cholesterol Education Program's Adult Treatment Panel III Expert Panel. CONCLUSIONS In this study vegetable intake, but not fruit intake, was associated with lower risk of PTDM in RTRs, likely largely through beneficial effects on key components of the metabolic syndrome. These findings further support accumulating evidence that supports a recommendation of higher vegetable intake by RTRs.","author":[{"dropping-particle":"","family":"Gomes-Neto","given":"António W.","non-dropping-particle":"","parse-names":false,"suffix":""},{"dropping-particle":"","family":"Osté","given":"Maryse C.J.","non-dropping-particle":"","parse-names":false,"suffix":""},{"dropping-particle":"","family":"Sotomayor","given":"Camilo G.","non-dropping-particle":"","parse-names":false,"suffix":""},{"dropping-particle":"V.D.","family":"Berg","given":"Else","non-dropping-particle":"","parse-names":false,"suffix":""},{"dropping-particle":"","family":"Geleijnse","given":"Johanna M.","non-dropping-particle":"","parse-names":false,"suffix":""},{"dropping-particle":"","family":"Gans","given":"Reinold O.B.","non-dropping-particle":"","parse-names":false,"suffix":""},{"dropping-particle":"","family":"Bakker","given":"Stephan J.L.","non-dropping-particle":"","parse-names":false,"suffix":""},{"dropping-particle":"","family":"Navis","given":"Gerjan J.","non-dropping-particle":"","parse-names":false,"suffix":""}],"container-title":"Diabetes Care","id":"ITEM-1","issue":"9","issued":{"date-parts":[["2019"]]},"page":"1645-1652","title":"Fruit and vegetable intake and risk of post trans plantation diabetes in renal transplant recipients","type":"article-journal","volume":"42"},"uris":["http://www.mendeley.com/documents/?uuid=8ed38f95-9e89-49b8-9aed-b39c8fab5729"]}],"mendeley":{"formattedCitation":"&lt;sup&gt;45&lt;/sup&gt;","plainTextFormattedCitation":"45","previouslyFormattedCitation":"&lt;sup&gt;44&lt;/sup&gt;"},"properties":{"noteIndex":0},"schema":"https://github.com/citation-style-language/schema/raw/master/csl-citation.json"}</w:instrText>
      </w:r>
      <w:r>
        <w:fldChar w:fldCharType="separate"/>
      </w:r>
      <w:r w:rsidRPr="00821369">
        <w:rPr>
          <w:noProof/>
          <w:vertAlign w:val="superscript"/>
        </w:rPr>
        <w:t>45</w:t>
      </w:r>
      <w:r>
        <w:fldChar w:fldCharType="end"/>
      </w:r>
      <w:r>
        <w:t xml:space="preserve">.  </w:t>
      </w:r>
    </w:p>
    <w:p w14:paraId="4CBC48DE" w14:textId="77777777" w:rsidR="00A51E53" w:rsidRDefault="00A51E53" w:rsidP="008D4BDF">
      <w:pPr>
        <w:spacing w:line="276" w:lineRule="auto"/>
        <w:jc w:val="both"/>
      </w:pPr>
      <w:r>
        <w:t xml:space="preserve">In summary, a plant-based diet may be useful in improving transplant outcomes by targeting cardio-metabolic risk factors. </w:t>
      </w:r>
    </w:p>
    <w:p w14:paraId="6E443AB9" w14:textId="34369D23" w:rsidR="00A51E53" w:rsidRPr="00520E82" w:rsidRDefault="008D4BDF" w:rsidP="00A51E53">
      <w:pPr>
        <w:pStyle w:val="Heading2"/>
      </w:pPr>
      <w:bookmarkStart w:id="98" w:name="_Toc128330004"/>
      <w:r>
        <w:t>References</w:t>
      </w:r>
      <w:bookmarkEnd w:id="98"/>
    </w:p>
    <w:p w14:paraId="4A8DAF63" w14:textId="77777777" w:rsidR="00A51E53" w:rsidRPr="00821369" w:rsidRDefault="00A51E53" w:rsidP="00B462AD">
      <w:pPr>
        <w:widowControl w:val="0"/>
        <w:autoSpaceDE w:val="0"/>
        <w:autoSpaceDN w:val="0"/>
        <w:adjustRightInd w:val="0"/>
        <w:spacing w:after="0" w:line="276" w:lineRule="auto"/>
        <w:ind w:left="641" w:hanging="641"/>
        <w:rPr>
          <w:rFonts w:ascii="Calibri" w:hAnsi="Calibri" w:cs="Calibri"/>
          <w:noProof/>
          <w:szCs w:val="24"/>
        </w:rPr>
      </w:pPr>
      <w:r>
        <w:rPr>
          <w:rFonts w:cstheme="minorHAnsi"/>
        </w:rPr>
        <w:fldChar w:fldCharType="begin" w:fldLock="1"/>
      </w:r>
      <w:r>
        <w:rPr>
          <w:rFonts w:cstheme="minorHAnsi"/>
        </w:rPr>
        <w:instrText xml:space="preserve">ADDIN Mendeley Bibliography CSL_BIBLIOGRAPHY </w:instrText>
      </w:r>
      <w:r>
        <w:rPr>
          <w:rFonts w:cstheme="minorHAnsi"/>
        </w:rPr>
        <w:fldChar w:fldCharType="separate"/>
      </w:r>
      <w:r w:rsidRPr="00821369">
        <w:rPr>
          <w:rFonts w:ascii="Calibri" w:hAnsi="Calibri" w:cs="Calibri"/>
          <w:noProof/>
          <w:szCs w:val="24"/>
        </w:rPr>
        <w:t xml:space="preserve">1. </w:t>
      </w:r>
      <w:r w:rsidRPr="00821369">
        <w:rPr>
          <w:rFonts w:ascii="Calibri" w:hAnsi="Calibri" w:cs="Calibri"/>
          <w:noProof/>
          <w:szCs w:val="24"/>
        </w:rPr>
        <w:tab/>
        <w:t xml:space="preserve">WHO. </w:t>
      </w:r>
      <w:r w:rsidRPr="00821369">
        <w:rPr>
          <w:rFonts w:ascii="Calibri" w:hAnsi="Calibri" w:cs="Calibri"/>
          <w:i/>
          <w:iCs/>
          <w:noProof/>
          <w:szCs w:val="24"/>
        </w:rPr>
        <w:t>Healthy Living - What Is a Healthy Lifestyle</w:t>
      </w:r>
      <w:r w:rsidRPr="00821369">
        <w:rPr>
          <w:rFonts w:ascii="Calibri" w:hAnsi="Calibri" w:cs="Calibri"/>
          <w:noProof/>
          <w:szCs w:val="24"/>
        </w:rPr>
        <w:t>.; 1998.</w:t>
      </w:r>
    </w:p>
    <w:p w14:paraId="388E3D43" w14:textId="77777777" w:rsidR="00A51E53" w:rsidRPr="00821369" w:rsidRDefault="00A51E53" w:rsidP="00B462AD">
      <w:pPr>
        <w:widowControl w:val="0"/>
        <w:autoSpaceDE w:val="0"/>
        <w:autoSpaceDN w:val="0"/>
        <w:adjustRightInd w:val="0"/>
        <w:spacing w:after="0" w:line="276" w:lineRule="auto"/>
        <w:ind w:left="641" w:hanging="641"/>
        <w:rPr>
          <w:rFonts w:ascii="Calibri" w:hAnsi="Calibri" w:cs="Calibri"/>
          <w:noProof/>
          <w:szCs w:val="24"/>
        </w:rPr>
      </w:pPr>
      <w:r w:rsidRPr="00821369">
        <w:rPr>
          <w:rFonts w:ascii="Calibri" w:hAnsi="Calibri" w:cs="Calibri"/>
          <w:noProof/>
          <w:szCs w:val="24"/>
        </w:rPr>
        <w:t xml:space="preserve">2. </w:t>
      </w:r>
      <w:r w:rsidRPr="00821369">
        <w:rPr>
          <w:rFonts w:ascii="Calibri" w:hAnsi="Calibri" w:cs="Calibri"/>
          <w:noProof/>
          <w:szCs w:val="24"/>
        </w:rPr>
        <w:tab/>
        <w:t xml:space="preserve">Booth SL, Sallis JF, Ritenbaugh C, et al. Environmental and societal factors affect food choice and physical activity: Rationale, influences, and leverage points. </w:t>
      </w:r>
      <w:r w:rsidRPr="00821369">
        <w:rPr>
          <w:rFonts w:ascii="Calibri" w:hAnsi="Calibri" w:cs="Calibri"/>
          <w:i/>
          <w:iCs/>
          <w:noProof/>
          <w:szCs w:val="24"/>
        </w:rPr>
        <w:t>Nutr Rev</w:t>
      </w:r>
      <w:r w:rsidRPr="00821369">
        <w:rPr>
          <w:rFonts w:ascii="Calibri" w:hAnsi="Calibri" w:cs="Calibri"/>
          <w:noProof/>
          <w:szCs w:val="24"/>
        </w:rPr>
        <w:t>. 2001;59(3 II):S21-S36. doi:10.1111/j.1753-4887.2001.tb06983.x</w:t>
      </w:r>
    </w:p>
    <w:p w14:paraId="43D0F414" w14:textId="77777777" w:rsidR="00A51E53" w:rsidRPr="00821369" w:rsidRDefault="00A51E53" w:rsidP="00B462AD">
      <w:pPr>
        <w:widowControl w:val="0"/>
        <w:autoSpaceDE w:val="0"/>
        <w:autoSpaceDN w:val="0"/>
        <w:adjustRightInd w:val="0"/>
        <w:spacing w:after="0" w:line="276" w:lineRule="auto"/>
        <w:ind w:left="641" w:hanging="641"/>
        <w:rPr>
          <w:rFonts w:ascii="Calibri" w:hAnsi="Calibri" w:cs="Calibri"/>
          <w:noProof/>
          <w:szCs w:val="24"/>
        </w:rPr>
      </w:pPr>
      <w:r w:rsidRPr="00821369">
        <w:rPr>
          <w:rFonts w:ascii="Calibri" w:hAnsi="Calibri" w:cs="Calibri"/>
          <w:noProof/>
          <w:szCs w:val="24"/>
        </w:rPr>
        <w:t xml:space="preserve">3. </w:t>
      </w:r>
      <w:r w:rsidRPr="00821369">
        <w:rPr>
          <w:rFonts w:ascii="Calibri" w:hAnsi="Calibri" w:cs="Calibri"/>
          <w:noProof/>
          <w:szCs w:val="24"/>
        </w:rPr>
        <w:tab/>
        <w:t xml:space="preserve">Matsushita K, van der Velde M, Astor BC, et al. Association of estimated glomerular filtration rate and albuminuria with all-cause and cardiovascular mortality in general population cohorts: a collaborative meta-analysis. </w:t>
      </w:r>
      <w:r w:rsidRPr="00821369">
        <w:rPr>
          <w:rFonts w:ascii="Calibri" w:hAnsi="Calibri" w:cs="Calibri"/>
          <w:i/>
          <w:iCs/>
          <w:noProof/>
          <w:szCs w:val="24"/>
        </w:rPr>
        <w:t>Lancet</w:t>
      </w:r>
      <w:r w:rsidRPr="00821369">
        <w:rPr>
          <w:rFonts w:ascii="Calibri" w:hAnsi="Calibri" w:cs="Calibri"/>
          <w:noProof/>
          <w:szCs w:val="24"/>
        </w:rPr>
        <w:t>. 2010;375(9731):2073-2081. doi:10.1016/S0140-6736(10)60674-5</w:t>
      </w:r>
    </w:p>
    <w:p w14:paraId="42307AB5" w14:textId="77777777" w:rsidR="00A51E53" w:rsidRPr="00821369" w:rsidRDefault="00A51E53" w:rsidP="00B462AD">
      <w:pPr>
        <w:widowControl w:val="0"/>
        <w:autoSpaceDE w:val="0"/>
        <w:autoSpaceDN w:val="0"/>
        <w:adjustRightInd w:val="0"/>
        <w:spacing w:after="0" w:line="276" w:lineRule="auto"/>
        <w:ind w:left="641" w:hanging="641"/>
        <w:rPr>
          <w:rFonts w:ascii="Calibri" w:hAnsi="Calibri" w:cs="Calibri"/>
          <w:noProof/>
          <w:szCs w:val="24"/>
        </w:rPr>
      </w:pPr>
      <w:r w:rsidRPr="00821369">
        <w:rPr>
          <w:rFonts w:ascii="Calibri" w:hAnsi="Calibri" w:cs="Calibri"/>
          <w:noProof/>
          <w:szCs w:val="24"/>
        </w:rPr>
        <w:t xml:space="preserve">4. </w:t>
      </w:r>
      <w:r w:rsidRPr="00821369">
        <w:rPr>
          <w:rFonts w:ascii="Calibri" w:hAnsi="Calibri" w:cs="Calibri"/>
          <w:noProof/>
          <w:szCs w:val="24"/>
        </w:rPr>
        <w:tab/>
        <w:t xml:space="preserve">Association TR. </w:t>
      </w:r>
      <w:r w:rsidRPr="00821369">
        <w:rPr>
          <w:rFonts w:ascii="Calibri" w:hAnsi="Calibri" w:cs="Calibri"/>
          <w:i/>
          <w:iCs/>
          <w:noProof/>
          <w:szCs w:val="24"/>
        </w:rPr>
        <w:t>Renal Association Clinical Practice Guidelines - Exercise and Lifestyle in Chronic Kidney Disease</w:t>
      </w:r>
      <w:r w:rsidRPr="00821369">
        <w:rPr>
          <w:rFonts w:ascii="Calibri" w:hAnsi="Calibri" w:cs="Calibri"/>
          <w:noProof/>
          <w:szCs w:val="24"/>
        </w:rPr>
        <w:t>.; 2021.</w:t>
      </w:r>
    </w:p>
    <w:p w14:paraId="58E04A9E" w14:textId="77777777" w:rsidR="00A51E53" w:rsidRPr="00821369" w:rsidRDefault="00A51E53" w:rsidP="00B462AD">
      <w:pPr>
        <w:widowControl w:val="0"/>
        <w:autoSpaceDE w:val="0"/>
        <w:autoSpaceDN w:val="0"/>
        <w:adjustRightInd w:val="0"/>
        <w:spacing w:after="0" w:line="276" w:lineRule="auto"/>
        <w:ind w:left="641" w:hanging="641"/>
        <w:rPr>
          <w:rFonts w:ascii="Calibri" w:hAnsi="Calibri" w:cs="Calibri"/>
          <w:noProof/>
          <w:szCs w:val="24"/>
        </w:rPr>
      </w:pPr>
      <w:r w:rsidRPr="00821369">
        <w:rPr>
          <w:rFonts w:ascii="Calibri" w:hAnsi="Calibri" w:cs="Calibri"/>
          <w:noProof/>
          <w:szCs w:val="24"/>
        </w:rPr>
        <w:lastRenderedPageBreak/>
        <w:t xml:space="preserve">5. </w:t>
      </w:r>
      <w:r w:rsidRPr="00821369">
        <w:rPr>
          <w:rFonts w:ascii="Calibri" w:hAnsi="Calibri" w:cs="Calibri"/>
          <w:noProof/>
          <w:szCs w:val="24"/>
        </w:rPr>
        <w:tab/>
        <w:t xml:space="preserve">Ying T, Shi B, Kelly PJ, Pilmore H, Clayton PA, Chadban SJ. Death after kidney transplantation: An analysis by era and time post-transplant. </w:t>
      </w:r>
      <w:r w:rsidRPr="00821369">
        <w:rPr>
          <w:rFonts w:ascii="Calibri" w:hAnsi="Calibri" w:cs="Calibri"/>
          <w:i/>
          <w:iCs/>
          <w:noProof/>
          <w:szCs w:val="24"/>
        </w:rPr>
        <w:t>J Am Soc Nephrol</w:t>
      </w:r>
      <w:r w:rsidRPr="00821369">
        <w:rPr>
          <w:rFonts w:ascii="Calibri" w:hAnsi="Calibri" w:cs="Calibri"/>
          <w:noProof/>
          <w:szCs w:val="24"/>
        </w:rPr>
        <w:t>. 2020;31(12):2887-2899. doi:10.1681/ASN.2020050566</w:t>
      </w:r>
    </w:p>
    <w:p w14:paraId="2F9B7993" w14:textId="77777777" w:rsidR="00A51E53" w:rsidRPr="00821369" w:rsidRDefault="00A51E53" w:rsidP="00B462AD">
      <w:pPr>
        <w:widowControl w:val="0"/>
        <w:autoSpaceDE w:val="0"/>
        <w:autoSpaceDN w:val="0"/>
        <w:adjustRightInd w:val="0"/>
        <w:spacing w:after="0" w:line="276" w:lineRule="auto"/>
        <w:ind w:left="641" w:hanging="641"/>
        <w:rPr>
          <w:rFonts w:ascii="Calibri" w:hAnsi="Calibri" w:cs="Calibri"/>
          <w:noProof/>
          <w:szCs w:val="24"/>
        </w:rPr>
      </w:pPr>
      <w:r w:rsidRPr="00821369">
        <w:rPr>
          <w:rFonts w:ascii="Calibri" w:hAnsi="Calibri" w:cs="Calibri"/>
          <w:noProof/>
          <w:szCs w:val="24"/>
        </w:rPr>
        <w:t xml:space="preserve">6. </w:t>
      </w:r>
      <w:r w:rsidRPr="00821369">
        <w:rPr>
          <w:rFonts w:ascii="Calibri" w:hAnsi="Calibri" w:cs="Calibri"/>
          <w:noProof/>
          <w:szCs w:val="24"/>
        </w:rPr>
        <w:tab/>
        <w:t xml:space="preserve">Weir MR, Burgess ED, Cooper JE, et al. Assessment and management of hypertension in transplant patients. </w:t>
      </w:r>
      <w:r w:rsidRPr="00821369">
        <w:rPr>
          <w:rFonts w:ascii="Calibri" w:hAnsi="Calibri" w:cs="Calibri"/>
          <w:i/>
          <w:iCs/>
          <w:noProof/>
          <w:szCs w:val="24"/>
        </w:rPr>
        <w:t>J Am Soc Nephrol</w:t>
      </w:r>
      <w:r w:rsidRPr="00821369">
        <w:rPr>
          <w:rFonts w:ascii="Calibri" w:hAnsi="Calibri" w:cs="Calibri"/>
          <w:noProof/>
          <w:szCs w:val="24"/>
        </w:rPr>
        <w:t>. 2015;26(6):1248-1260. doi:10.1681/ASN.2014080834</w:t>
      </w:r>
    </w:p>
    <w:p w14:paraId="7A93BEA3" w14:textId="77777777" w:rsidR="00A51E53" w:rsidRPr="00821369" w:rsidRDefault="00A51E53" w:rsidP="00B462AD">
      <w:pPr>
        <w:widowControl w:val="0"/>
        <w:autoSpaceDE w:val="0"/>
        <w:autoSpaceDN w:val="0"/>
        <w:adjustRightInd w:val="0"/>
        <w:spacing w:after="0" w:line="276" w:lineRule="auto"/>
        <w:ind w:left="641" w:hanging="641"/>
        <w:rPr>
          <w:rFonts w:ascii="Calibri" w:hAnsi="Calibri" w:cs="Calibri"/>
          <w:noProof/>
          <w:szCs w:val="24"/>
        </w:rPr>
      </w:pPr>
      <w:r w:rsidRPr="00821369">
        <w:rPr>
          <w:rFonts w:ascii="Calibri" w:hAnsi="Calibri" w:cs="Calibri"/>
          <w:noProof/>
          <w:szCs w:val="24"/>
        </w:rPr>
        <w:t xml:space="preserve">7. </w:t>
      </w:r>
      <w:r w:rsidRPr="00821369">
        <w:rPr>
          <w:rFonts w:ascii="Calibri" w:hAnsi="Calibri" w:cs="Calibri"/>
          <w:noProof/>
          <w:szCs w:val="24"/>
        </w:rPr>
        <w:tab/>
        <w:t xml:space="preserve">Lafranca JA, IJermans JNM, Betjes MGH, Dor FJMF. Body mass index and outcome in renal transplant recipients: A systematic review and meta-analysis. </w:t>
      </w:r>
      <w:r w:rsidRPr="00821369">
        <w:rPr>
          <w:rFonts w:ascii="Calibri" w:hAnsi="Calibri" w:cs="Calibri"/>
          <w:i/>
          <w:iCs/>
          <w:noProof/>
          <w:szCs w:val="24"/>
        </w:rPr>
        <w:t>BMC Med</w:t>
      </w:r>
      <w:r w:rsidRPr="00821369">
        <w:rPr>
          <w:rFonts w:ascii="Calibri" w:hAnsi="Calibri" w:cs="Calibri"/>
          <w:noProof/>
          <w:szCs w:val="24"/>
        </w:rPr>
        <w:t>. 2015;13(1):1-18. doi:10.1186/s12916-015-0340-5</w:t>
      </w:r>
    </w:p>
    <w:p w14:paraId="110562F0" w14:textId="77777777" w:rsidR="00A51E53" w:rsidRPr="00821369" w:rsidRDefault="00A51E53" w:rsidP="00B462AD">
      <w:pPr>
        <w:widowControl w:val="0"/>
        <w:autoSpaceDE w:val="0"/>
        <w:autoSpaceDN w:val="0"/>
        <w:adjustRightInd w:val="0"/>
        <w:spacing w:after="0" w:line="276" w:lineRule="auto"/>
        <w:ind w:left="641" w:hanging="641"/>
        <w:rPr>
          <w:rFonts w:ascii="Calibri" w:hAnsi="Calibri" w:cs="Calibri"/>
          <w:noProof/>
          <w:szCs w:val="24"/>
        </w:rPr>
      </w:pPr>
      <w:r w:rsidRPr="00821369">
        <w:rPr>
          <w:rFonts w:ascii="Calibri" w:hAnsi="Calibri" w:cs="Calibri"/>
          <w:noProof/>
          <w:szCs w:val="24"/>
        </w:rPr>
        <w:t xml:space="preserve">8. </w:t>
      </w:r>
      <w:r w:rsidRPr="00821369">
        <w:rPr>
          <w:rFonts w:ascii="Calibri" w:hAnsi="Calibri" w:cs="Calibri"/>
          <w:noProof/>
          <w:szCs w:val="24"/>
        </w:rPr>
        <w:tab/>
        <w:t xml:space="preserve">Sharif A, Cohney S. Post-transplantation diabetes-state of the art. </w:t>
      </w:r>
      <w:r w:rsidRPr="00821369">
        <w:rPr>
          <w:rFonts w:ascii="Calibri" w:hAnsi="Calibri" w:cs="Calibri"/>
          <w:i/>
          <w:iCs/>
          <w:noProof/>
          <w:szCs w:val="24"/>
        </w:rPr>
        <w:t>Lancet Diabetes Endocrinol</w:t>
      </w:r>
      <w:r w:rsidRPr="00821369">
        <w:rPr>
          <w:rFonts w:ascii="Calibri" w:hAnsi="Calibri" w:cs="Calibri"/>
          <w:noProof/>
          <w:szCs w:val="24"/>
        </w:rPr>
        <w:t>. 2016;4(4):337-349. doi:10.1016/S2213-8587(15)00387-3</w:t>
      </w:r>
    </w:p>
    <w:p w14:paraId="16B13E13" w14:textId="77777777" w:rsidR="00A51E53" w:rsidRPr="00821369" w:rsidRDefault="00A51E53" w:rsidP="00B462AD">
      <w:pPr>
        <w:widowControl w:val="0"/>
        <w:autoSpaceDE w:val="0"/>
        <w:autoSpaceDN w:val="0"/>
        <w:adjustRightInd w:val="0"/>
        <w:spacing w:after="0" w:line="276" w:lineRule="auto"/>
        <w:ind w:left="641" w:hanging="641"/>
        <w:rPr>
          <w:rFonts w:ascii="Calibri" w:hAnsi="Calibri" w:cs="Calibri"/>
          <w:noProof/>
          <w:szCs w:val="24"/>
        </w:rPr>
      </w:pPr>
      <w:r w:rsidRPr="00821369">
        <w:rPr>
          <w:rFonts w:ascii="Calibri" w:hAnsi="Calibri" w:cs="Calibri"/>
          <w:noProof/>
          <w:szCs w:val="24"/>
        </w:rPr>
        <w:t xml:space="preserve">9. </w:t>
      </w:r>
      <w:r w:rsidRPr="00821369">
        <w:rPr>
          <w:rFonts w:ascii="Calibri" w:hAnsi="Calibri" w:cs="Calibri"/>
          <w:noProof/>
          <w:szCs w:val="24"/>
        </w:rPr>
        <w:tab/>
        <w:t xml:space="preserve">Nöhre M, Schieffer E, Hanke A, et al. Obesity After Kidney Transplantation—Results of a KTx360°Substudy. </w:t>
      </w:r>
      <w:r w:rsidRPr="00821369">
        <w:rPr>
          <w:rFonts w:ascii="Calibri" w:hAnsi="Calibri" w:cs="Calibri"/>
          <w:i/>
          <w:iCs/>
          <w:noProof/>
          <w:szCs w:val="24"/>
        </w:rPr>
        <w:t>Front Psychiatry</w:t>
      </w:r>
      <w:r w:rsidRPr="00821369">
        <w:rPr>
          <w:rFonts w:ascii="Calibri" w:hAnsi="Calibri" w:cs="Calibri"/>
          <w:noProof/>
          <w:szCs w:val="24"/>
        </w:rPr>
        <w:t>. 2020;11:399. doi:10.3389/FPSYT.2020.00399/BIBTEX</w:t>
      </w:r>
    </w:p>
    <w:p w14:paraId="28A70AD0" w14:textId="77777777" w:rsidR="00A51E53" w:rsidRPr="00821369" w:rsidRDefault="00A51E53" w:rsidP="00B462AD">
      <w:pPr>
        <w:widowControl w:val="0"/>
        <w:autoSpaceDE w:val="0"/>
        <w:autoSpaceDN w:val="0"/>
        <w:adjustRightInd w:val="0"/>
        <w:spacing w:after="0" w:line="276" w:lineRule="auto"/>
        <w:ind w:left="641" w:hanging="641"/>
        <w:rPr>
          <w:rFonts w:ascii="Calibri" w:hAnsi="Calibri" w:cs="Calibri"/>
          <w:noProof/>
          <w:szCs w:val="24"/>
        </w:rPr>
      </w:pPr>
      <w:r w:rsidRPr="00821369">
        <w:rPr>
          <w:rFonts w:ascii="Calibri" w:hAnsi="Calibri" w:cs="Calibri"/>
          <w:noProof/>
          <w:szCs w:val="24"/>
        </w:rPr>
        <w:t xml:space="preserve">10. </w:t>
      </w:r>
      <w:r w:rsidRPr="00821369">
        <w:rPr>
          <w:rFonts w:ascii="Calibri" w:hAnsi="Calibri" w:cs="Calibri"/>
          <w:noProof/>
          <w:szCs w:val="24"/>
        </w:rPr>
        <w:tab/>
        <w:t xml:space="preserve">Ahmadi SF, Zahmatkesh G, Ahmadi E, et al. Association of Body Mass Index with Clinical Outcomes in Non-Dialysis-Dependent Chronic Kidney Disease: A Systematic Review and Meta-Analysis. </w:t>
      </w:r>
      <w:r w:rsidRPr="00821369">
        <w:rPr>
          <w:rFonts w:ascii="Calibri" w:hAnsi="Calibri" w:cs="Calibri"/>
          <w:i/>
          <w:iCs/>
          <w:noProof/>
          <w:szCs w:val="24"/>
        </w:rPr>
        <w:t>Cardiorenal Med</w:t>
      </w:r>
      <w:r w:rsidRPr="00821369">
        <w:rPr>
          <w:rFonts w:ascii="Calibri" w:hAnsi="Calibri" w:cs="Calibri"/>
          <w:noProof/>
          <w:szCs w:val="24"/>
        </w:rPr>
        <w:t>. 2016;6(1):37-49. doi:10.1159/000437277</w:t>
      </w:r>
    </w:p>
    <w:p w14:paraId="2B5691F9" w14:textId="77777777" w:rsidR="00A51E53" w:rsidRPr="00821369" w:rsidRDefault="00A51E53" w:rsidP="00B462AD">
      <w:pPr>
        <w:widowControl w:val="0"/>
        <w:autoSpaceDE w:val="0"/>
        <w:autoSpaceDN w:val="0"/>
        <w:adjustRightInd w:val="0"/>
        <w:spacing w:after="0" w:line="276" w:lineRule="auto"/>
        <w:ind w:left="641" w:hanging="641"/>
        <w:rPr>
          <w:rFonts w:ascii="Calibri" w:hAnsi="Calibri" w:cs="Calibri"/>
          <w:noProof/>
          <w:szCs w:val="24"/>
        </w:rPr>
      </w:pPr>
      <w:r w:rsidRPr="00821369">
        <w:rPr>
          <w:rFonts w:ascii="Calibri" w:hAnsi="Calibri" w:cs="Calibri"/>
          <w:noProof/>
          <w:szCs w:val="24"/>
        </w:rPr>
        <w:t xml:space="preserve">11. </w:t>
      </w:r>
      <w:r w:rsidRPr="00821369">
        <w:rPr>
          <w:rFonts w:ascii="Calibri" w:hAnsi="Calibri" w:cs="Calibri"/>
          <w:noProof/>
          <w:szCs w:val="24"/>
        </w:rPr>
        <w:tab/>
        <w:t xml:space="preserve">Beckmann S, Nikolic N, Denhaerynck K, et al. Evolution of body weight parameters up to 3 years after solid organ transplantation: The prospective Swiss Transplant Cohort Study. </w:t>
      </w:r>
      <w:r w:rsidRPr="00821369">
        <w:rPr>
          <w:rFonts w:ascii="Calibri" w:hAnsi="Calibri" w:cs="Calibri"/>
          <w:i/>
          <w:iCs/>
          <w:noProof/>
          <w:szCs w:val="24"/>
        </w:rPr>
        <w:t>Clin Transplant</w:t>
      </w:r>
      <w:r w:rsidRPr="00821369">
        <w:rPr>
          <w:rFonts w:ascii="Calibri" w:hAnsi="Calibri" w:cs="Calibri"/>
          <w:noProof/>
          <w:szCs w:val="24"/>
        </w:rPr>
        <w:t>. 2017;31(3):1-11. doi:10.1111/ctr.12896</w:t>
      </w:r>
    </w:p>
    <w:p w14:paraId="332AD114" w14:textId="77777777" w:rsidR="00A51E53" w:rsidRPr="00821369" w:rsidRDefault="00A51E53" w:rsidP="00B462AD">
      <w:pPr>
        <w:widowControl w:val="0"/>
        <w:autoSpaceDE w:val="0"/>
        <w:autoSpaceDN w:val="0"/>
        <w:adjustRightInd w:val="0"/>
        <w:spacing w:after="0" w:line="276" w:lineRule="auto"/>
        <w:ind w:left="641" w:hanging="641"/>
        <w:rPr>
          <w:rFonts w:ascii="Calibri" w:hAnsi="Calibri" w:cs="Calibri"/>
          <w:noProof/>
          <w:szCs w:val="24"/>
        </w:rPr>
      </w:pPr>
      <w:r w:rsidRPr="00821369">
        <w:rPr>
          <w:rFonts w:ascii="Calibri" w:hAnsi="Calibri" w:cs="Calibri"/>
          <w:noProof/>
          <w:szCs w:val="24"/>
        </w:rPr>
        <w:t xml:space="preserve">12. </w:t>
      </w:r>
      <w:r w:rsidRPr="00821369">
        <w:rPr>
          <w:rFonts w:ascii="Calibri" w:hAnsi="Calibri" w:cs="Calibri"/>
          <w:noProof/>
          <w:szCs w:val="24"/>
        </w:rPr>
        <w:tab/>
        <w:t xml:space="preserve">Forte CC, Pedrollo EF, Nicoletto BB, et al. Risk factors associated with weight gain after kidney transplantation: A cohort study. </w:t>
      </w:r>
      <w:r w:rsidRPr="00821369">
        <w:rPr>
          <w:rFonts w:ascii="Calibri" w:hAnsi="Calibri" w:cs="Calibri"/>
          <w:i/>
          <w:iCs/>
          <w:noProof/>
          <w:szCs w:val="24"/>
        </w:rPr>
        <w:t>PLoS One</w:t>
      </w:r>
      <w:r w:rsidRPr="00821369">
        <w:rPr>
          <w:rFonts w:ascii="Calibri" w:hAnsi="Calibri" w:cs="Calibri"/>
          <w:noProof/>
          <w:szCs w:val="24"/>
        </w:rPr>
        <w:t>. 2020;15(12 December):1-11. doi:10.1371/journal.pone.0243394</w:t>
      </w:r>
    </w:p>
    <w:p w14:paraId="0CA3BB05" w14:textId="77777777" w:rsidR="00A51E53" w:rsidRPr="00821369" w:rsidRDefault="00A51E53" w:rsidP="00B462AD">
      <w:pPr>
        <w:widowControl w:val="0"/>
        <w:autoSpaceDE w:val="0"/>
        <w:autoSpaceDN w:val="0"/>
        <w:adjustRightInd w:val="0"/>
        <w:spacing w:after="0" w:line="276" w:lineRule="auto"/>
        <w:ind w:left="641" w:hanging="641"/>
        <w:rPr>
          <w:rFonts w:ascii="Calibri" w:hAnsi="Calibri" w:cs="Calibri"/>
          <w:noProof/>
          <w:szCs w:val="24"/>
        </w:rPr>
      </w:pPr>
      <w:r w:rsidRPr="00821369">
        <w:rPr>
          <w:rFonts w:ascii="Calibri" w:hAnsi="Calibri" w:cs="Calibri"/>
          <w:noProof/>
          <w:szCs w:val="24"/>
        </w:rPr>
        <w:t xml:space="preserve">13. </w:t>
      </w:r>
      <w:r w:rsidRPr="00821369">
        <w:rPr>
          <w:rFonts w:ascii="Calibri" w:hAnsi="Calibri" w:cs="Calibri"/>
          <w:noProof/>
          <w:szCs w:val="24"/>
        </w:rPr>
        <w:tab/>
        <w:t xml:space="preserve">Järv L, Pechter Ü, Kuudeberg A, Lember M, Ots-Rosenberg M. Effect of Pretransplant Body Mass Index on Kidney Transplant Recipient and Graft Long-term Survival. </w:t>
      </w:r>
      <w:r w:rsidRPr="00821369">
        <w:rPr>
          <w:rFonts w:ascii="Calibri" w:hAnsi="Calibri" w:cs="Calibri"/>
          <w:i/>
          <w:iCs/>
          <w:noProof/>
          <w:szCs w:val="24"/>
        </w:rPr>
        <w:t>Transplant Proc</w:t>
      </w:r>
      <w:r w:rsidRPr="00821369">
        <w:rPr>
          <w:rFonts w:ascii="Calibri" w:hAnsi="Calibri" w:cs="Calibri"/>
          <w:noProof/>
          <w:szCs w:val="24"/>
        </w:rPr>
        <w:t>. 2021;53(10):2879-2887. doi:10.1016/j.transproceed.2021.09.040</w:t>
      </w:r>
    </w:p>
    <w:p w14:paraId="004A5EA0" w14:textId="77777777" w:rsidR="00A51E53" w:rsidRPr="00821369" w:rsidRDefault="00A51E53" w:rsidP="00B462AD">
      <w:pPr>
        <w:widowControl w:val="0"/>
        <w:autoSpaceDE w:val="0"/>
        <w:autoSpaceDN w:val="0"/>
        <w:adjustRightInd w:val="0"/>
        <w:spacing w:after="0" w:line="276" w:lineRule="auto"/>
        <w:ind w:left="641" w:hanging="641"/>
        <w:rPr>
          <w:rFonts w:ascii="Calibri" w:hAnsi="Calibri" w:cs="Calibri"/>
          <w:noProof/>
          <w:szCs w:val="24"/>
        </w:rPr>
      </w:pPr>
      <w:r w:rsidRPr="00821369">
        <w:rPr>
          <w:rFonts w:ascii="Calibri" w:hAnsi="Calibri" w:cs="Calibri"/>
          <w:noProof/>
          <w:szCs w:val="24"/>
        </w:rPr>
        <w:t xml:space="preserve">14. </w:t>
      </w:r>
      <w:r w:rsidRPr="00821369">
        <w:rPr>
          <w:rFonts w:ascii="Calibri" w:hAnsi="Calibri" w:cs="Calibri"/>
          <w:noProof/>
          <w:szCs w:val="24"/>
        </w:rPr>
        <w:tab/>
        <w:t xml:space="preserve">Erturk T, Berber I, Cakir U. Effect of Obesity on Clinical Outcomes of Kidney Transplant Patients. </w:t>
      </w:r>
      <w:r w:rsidRPr="00821369">
        <w:rPr>
          <w:rFonts w:ascii="Calibri" w:hAnsi="Calibri" w:cs="Calibri"/>
          <w:i/>
          <w:iCs/>
          <w:noProof/>
          <w:szCs w:val="24"/>
        </w:rPr>
        <w:t>Transplant Proc</w:t>
      </w:r>
      <w:r w:rsidRPr="00821369">
        <w:rPr>
          <w:rFonts w:ascii="Calibri" w:hAnsi="Calibri" w:cs="Calibri"/>
          <w:noProof/>
          <w:szCs w:val="24"/>
        </w:rPr>
        <w:t>. 2019;51(4):1093-1095. doi:10.1016/j.transproceed.2019.02.012</w:t>
      </w:r>
    </w:p>
    <w:p w14:paraId="401CCF41" w14:textId="77777777" w:rsidR="00A51E53" w:rsidRPr="00280BC8" w:rsidRDefault="00A51E53" w:rsidP="00B462AD">
      <w:pPr>
        <w:widowControl w:val="0"/>
        <w:autoSpaceDE w:val="0"/>
        <w:autoSpaceDN w:val="0"/>
        <w:adjustRightInd w:val="0"/>
        <w:spacing w:after="0" w:line="276" w:lineRule="auto"/>
        <w:ind w:left="641" w:hanging="641"/>
        <w:rPr>
          <w:rFonts w:ascii="Calibri" w:hAnsi="Calibri" w:cs="Calibri"/>
          <w:noProof/>
          <w:szCs w:val="24"/>
          <w:lang w:val="da-DK"/>
        </w:rPr>
      </w:pPr>
      <w:r w:rsidRPr="00821369">
        <w:rPr>
          <w:rFonts w:ascii="Calibri" w:hAnsi="Calibri" w:cs="Calibri"/>
          <w:noProof/>
          <w:szCs w:val="24"/>
        </w:rPr>
        <w:t xml:space="preserve">15. </w:t>
      </w:r>
      <w:r w:rsidRPr="00821369">
        <w:rPr>
          <w:rFonts w:ascii="Calibri" w:hAnsi="Calibri" w:cs="Calibri"/>
          <w:noProof/>
          <w:szCs w:val="24"/>
        </w:rPr>
        <w:tab/>
        <w:t xml:space="preserve">Camilleri B, Bridson JM, Sharma A, Halawa A. From chronic kidney disease to kidney transplantation: The impact of obesity and its treatment modalities. </w:t>
      </w:r>
      <w:r w:rsidRPr="00280BC8">
        <w:rPr>
          <w:rFonts w:ascii="Calibri" w:hAnsi="Calibri" w:cs="Calibri"/>
          <w:i/>
          <w:iCs/>
          <w:noProof/>
          <w:szCs w:val="24"/>
          <w:lang w:val="da-DK"/>
        </w:rPr>
        <w:t>Transplant Rev</w:t>
      </w:r>
      <w:r w:rsidRPr="00280BC8">
        <w:rPr>
          <w:rFonts w:ascii="Calibri" w:hAnsi="Calibri" w:cs="Calibri"/>
          <w:noProof/>
          <w:szCs w:val="24"/>
          <w:lang w:val="da-DK"/>
        </w:rPr>
        <w:t>. 2016;30(4):203-211. doi:10.1016/j.trre.2016.07.006</w:t>
      </w:r>
    </w:p>
    <w:p w14:paraId="2C47D41F" w14:textId="77777777" w:rsidR="00A51E53" w:rsidRPr="00821369" w:rsidRDefault="00A51E53" w:rsidP="00B462AD">
      <w:pPr>
        <w:widowControl w:val="0"/>
        <w:autoSpaceDE w:val="0"/>
        <w:autoSpaceDN w:val="0"/>
        <w:adjustRightInd w:val="0"/>
        <w:spacing w:after="0" w:line="276" w:lineRule="auto"/>
        <w:ind w:left="641" w:hanging="641"/>
        <w:rPr>
          <w:rFonts w:ascii="Calibri" w:hAnsi="Calibri" w:cs="Calibri"/>
          <w:noProof/>
          <w:szCs w:val="24"/>
        </w:rPr>
      </w:pPr>
      <w:r w:rsidRPr="00280BC8">
        <w:rPr>
          <w:rFonts w:ascii="Calibri" w:hAnsi="Calibri" w:cs="Calibri"/>
          <w:noProof/>
          <w:szCs w:val="24"/>
          <w:lang w:val="da-DK"/>
        </w:rPr>
        <w:t xml:space="preserve">16. </w:t>
      </w:r>
      <w:r w:rsidRPr="00280BC8">
        <w:rPr>
          <w:rFonts w:ascii="Calibri" w:hAnsi="Calibri" w:cs="Calibri"/>
          <w:noProof/>
          <w:szCs w:val="24"/>
          <w:lang w:val="da-DK"/>
        </w:rPr>
        <w:tab/>
        <w:t xml:space="preserve">Molnar MZ, Streja E, Kovesdy CP, et al. </w:t>
      </w:r>
      <w:r w:rsidRPr="00821369">
        <w:rPr>
          <w:rFonts w:ascii="Calibri" w:hAnsi="Calibri" w:cs="Calibri"/>
          <w:noProof/>
          <w:szCs w:val="24"/>
        </w:rPr>
        <w:t xml:space="preserve">Associations of body mass index and weight loss with mortality in transplant-waitlisted maintenance hemodialysis patients. </w:t>
      </w:r>
      <w:r w:rsidRPr="00821369">
        <w:rPr>
          <w:rFonts w:ascii="Calibri" w:hAnsi="Calibri" w:cs="Calibri"/>
          <w:i/>
          <w:iCs/>
          <w:noProof/>
          <w:szCs w:val="24"/>
        </w:rPr>
        <w:t>Am J Transplant</w:t>
      </w:r>
      <w:r w:rsidRPr="00821369">
        <w:rPr>
          <w:rFonts w:ascii="Calibri" w:hAnsi="Calibri" w:cs="Calibri"/>
          <w:noProof/>
          <w:szCs w:val="24"/>
        </w:rPr>
        <w:t>. 2011;11(4):725-736. doi:10.1111/j.1600-6143.2011.03468.x</w:t>
      </w:r>
    </w:p>
    <w:p w14:paraId="5AA17384" w14:textId="77777777" w:rsidR="00A51E53" w:rsidRPr="00821369" w:rsidRDefault="00A51E53" w:rsidP="00B462AD">
      <w:pPr>
        <w:widowControl w:val="0"/>
        <w:autoSpaceDE w:val="0"/>
        <w:autoSpaceDN w:val="0"/>
        <w:adjustRightInd w:val="0"/>
        <w:spacing w:after="0" w:line="276" w:lineRule="auto"/>
        <w:ind w:left="641" w:hanging="641"/>
        <w:rPr>
          <w:rFonts w:ascii="Calibri" w:hAnsi="Calibri" w:cs="Calibri"/>
          <w:noProof/>
          <w:szCs w:val="24"/>
        </w:rPr>
      </w:pPr>
      <w:r w:rsidRPr="00821369">
        <w:rPr>
          <w:rFonts w:ascii="Calibri" w:hAnsi="Calibri" w:cs="Calibri"/>
          <w:noProof/>
          <w:szCs w:val="24"/>
        </w:rPr>
        <w:t xml:space="preserve">17. </w:t>
      </w:r>
      <w:r w:rsidRPr="00821369">
        <w:rPr>
          <w:rFonts w:ascii="Calibri" w:hAnsi="Calibri" w:cs="Calibri"/>
          <w:noProof/>
          <w:szCs w:val="24"/>
        </w:rPr>
        <w:tab/>
        <w:t xml:space="preserve">Moreira TR, Bassani T, De Souza G, Manfro RC, Gonçalves LFS. Obesity in kidney transplant recipients: Association with decline in glomerular filtration rate. </w:t>
      </w:r>
      <w:r w:rsidRPr="00821369">
        <w:rPr>
          <w:rFonts w:ascii="Calibri" w:hAnsi="Calibri" w:cs="Calibri"/>
          <w:i/>
          <w:iCs/>
          <w:noProof/>
          <w:szCs w:val="24"/>
        </w:rPr>
        <w:t>Ren Fail</w:t>
      </w:r>
      <w:r w:rsidRPr="00821369">
        <w:rPr>
          <w:rFonts w:ascii="Calibri" w:hAnsi="Calibri" w:cs="Calibri"/>
          <w:noProof/>
          <w:szCs w:val="24"/>
        </w:rPr>
        <w:t>. 2013;35(9):1199-1203. doi:10.3109/0886022X.2013.819735</w:t>
      </w:r>
    </w:p>
    <w:p w14:paraId="7ED96903" w14:textId="77777777" w:rsidR="00A51E53" w:rsidRPr="00821369" w:rsidRDefault="00A51E53" w:rsidP="00B462AD">
      <w:pPr>
        <w:widowControl w:val="0"/>
        <w:autoSpaceDE w:val="0"/>
        <w:autoSpaceDN w:val="0"/>
        <w:adjustRightInd w:val="0"/>
        <w:spacing w:after="0" w:line="276" w:lineRule="auto"/>
        <w:ind w:left="641" w:hanging="641"/>
        <w:rPr>
          <w:rFonts w:ascii="Calibri" w:hAnsi="Calibri" w:cs="Calibri"/>
          <w:noProof/>
          <w:szCs w:val="24"/>
        </w:rPr>
      </w:pPr>
      <w:r w:rsidRPr="00821369">
        <w:rPr>
          <w:rFonts w:ascii="Calibri" w:hAnsi="Calibri" w:cs="Calibri"/>
          <w:noProof/>
          <w:szCs w:val="24"/>
        </w:rPr>
        <w:t xml:space="preserve">18. </w:t>
      </w:r>
      <w:r w:rsidRPr="00821369">
        <w:rPr>
          <w:rFonts w:ascii="Calibri" w:hAnsi="Calibri" w:cs="Calibri"/>
          <w:noProof/>
          <w:szCs w:val="24"/>
        </w:rPr>
        <w:tab/>
        <w:t xml:space="preserve">Olarte IG, Hawasli A. Kidney transplant complications and obesity. </w:t>
      </w:r>
      <w:r w:rsidRPr="00821369">
        <w:rPr>
          <w:rFonts w:ascii="Calibri" w:hAnsi="Calibri" w:cs="Calibri"/>
          <w:i/>
          <w:iCs/>
          <w:noProof/>
          <w:szCs w:val="24"/>
        </w:rPr>
        <w:t>Am J Surg</w:t>
      </w:r>
      <w:r w:rsidRPr="00821369">
        <w:rPr>
          <w:rFonts w:ascii="Calibri" w:hAnsi="Calibri" w:cs="Calibri"/>
          <w:noProof/>
          <w:szCs w:val="24"/>
        </w:rPr>
        <w:t>. 2009;197(3):424-426. doi:10.1016/j.amjsurg.2008.11.021</w:t>
      </w:r>
    </w:p>
    <w:p w14:paraId="759EA507" w14:textId="77777777" w:rsidR="00A51E53" w:rsidRPr="00821369" w:rsidRDefault="00A51E53" w:rsidP="00B462AD">
      <w:pPr>
        <w:widowControl w:val="0"/>
        <w:autoSpaceDE w:val="0"/>
        <w:autoSpaceDN w:val="0"/>
        <w:adjustRightInd w:val="0"/>
        <w:spacing w:after="0" w:line="276" w:lineRule="auto"/>
        <w:ind w:left="641" w:hanging="641"/>
        <w:rPr>
          <w:rFonts w:ascii="Calibri" w:hAnsi="Calibri" w:cs="Calibri"/>
          <w:noProof/>
          <w:szCs w:val="24"/>
        </w:rPr>
      </w:pPr>
      <w:r w:rsidRPr="00821369">
        <w:rPr>
          <w:rFonts w:ascii="Calibri" w:hAnsi="Calibri" w:cs="Calibri"/>
          <w:noProof/>
          <w:szCs w:val="24"/>
        </w:rPr>
        <w:t xml:space="preserve">19. </w:t>
      </w:r>
      <w:r w:rsidRPr="00821369">
        <w:rPr>
          <w:rFonts w:ascii="Calibri" w:hAnsi="Calibri" w:cs="Calibri"/>
          <w:noProof/>
          <w:szCs w:val="24"/>
        </w:rPr>
        <w:tab/>
        <w:t xml:space="preserve">Bellini MI, Koutroutsos K, Nananpragasam H, Deurloo E, Galliford J, Herbert PE. Obesity affects graft function but not graft loss in kidney transplant recipients. </w:t>
      </w:r>
      <w:r w:rsidRPr="00821369">
        <w:rPr>
          <w:rFonts w:ascii="Calibri" w:hAnsi="Calibri" w:cs="Calibri"/>
          <w:i/>
          <w:iCs/>
          <w:noProof/>
          <w:szCs w:val="24"/>
        </w:rPr>
        <w:t>J Int Med Res</w:t>
      </w:r>
      <w:r w:rsidRPr="00821369">
        <w:rPr>
          <w:rFonts w:ascii="Calibri" w:hAnsi="Calibri" w:cs="Calibri"/>
          <w:noProof/>
          <w:szCs w:val="24"/>
        </w:rPr>
        <w:t>. 2020;48(1):1-9. doi:10.1177/0300060519895139</w:t>
      </w:r>
    </w:p>
    <w:p w14:paraId="622DF101" w14:textId="77777777" w:rsidR="00A51E53" w:rsidRPr="00821369" w:rsidRDefault="00A51E53" w:rsidP="00B462AD">
      <w:pPr>
        <w:widowControl w:val="0"/>
        <w:autoSpaceDE w:val="0"/>
        <w:autoSpaceDN w:val="0"/>
        <w:adjustRightInd w:val="0"/>
        <w:spacing w:after="0" w:line="276" w:lineRule="auto"/>
        <w:ind w:left="641" w:hanging="641"/>
        <w:rPr>
          <w:rFonts w:ascii="Calibri" w:hAnsi="Calibri" w:cs="Calibri"/>
          <w:noProof/>
          <w:szCs w:val="24"/>
        </w:rPr>
      </w:pPr>
      <w:r w:rsidRPr="00821369">
        <w:rPr>
          <w:rFonts w:ascii="Calibri" w:hAnsi="Calibri" w:cs="Calibri"/>
          <w:noProof/>
          <w:szCs w:val="24"/>
        </w:rPr>
        <w:t xml:space="preserve">20. </w:t>
      </w:r>
      <w:r w:rsidRPr="00821369">
        <w:rPr>
          <w:rFonts w:ascii="Calibri" w:hAnsi="Calibri" w:cs="Calibri"/>
          <w:noProof/>
          <w:szCs w:val="24"/>
        </w:rPr>
        <w:tab/>
        <w:t xml:space="preserve">Zaydfudim V, Feurer ID, Moore DR, Moore DE, Pinson CW, Shaffer D. Pre-transplant Overweight and Obesity Do Not Affect Physical Quality of Life after Kidney Transplantation. </w:t>
      </w:r>
      <w:r w:rsidRPr="00821369">
        <w:rPr>
          <w:rFonts w:ascii="Calibri" w:hAnsi="Calibri" w:cs="Calibri"/>
          <w:i/>
          <w:iCs/>
          <w:noProof/>
          <w:szCs w:val="24"/>
        </w:rPr>
        <w:t>J Am Coll Surg</w:t>
      </w:r>
      <w:r w:rsidRPr="00821369">
        <w:rPr>
          <w:rFonts w:ascii="Calibri" w:hAnsi="Calibri" w:cs="Calibri"/>
          <w:noProof/>
          <w:szCs w:val="24"/>
        </w:rPr>
        <w:t>. 2010;210(3):336-344. doi:10.1016/j.jamcollsurg.2009.11.009</w:t>
      </w:r>
    </w:p>
    <w:p w14:paraId="1783B01F" w14:textId="77777777" w:rsidR="00A51E53" w:rsidRPr="00821369" w:rsidRDefault="00A51E53" w:rsidP="00B462AD">
      <w:pPr>
        <w:widowControl w:val="0"/>
        <w:autoSpaceDE w:val="0"/>
        <w:autoSpaceDN w:val="0"/>
        <w:adjustRightInd w:val="0"/>
        <w:spacing w:after="0" w:line="276" w:lineRule="auto"/>
        <w:ind w:left="641" w:hanging="641"/>
        <w:rPr>
          <w:rFonts w:ascii="Calibri" w:hAnsi="Calibri" w:cs="Calibri"/>
          <w:noProof/>
          <w:szCs w:val="24"/>
        </w:rPr>
      </w:pPr>
      <w:r w:rsidRPr="00821369">
        <w:rPr>
          <w:rFonts w:ascii="Calibri" w:hAnsi="Calibri" w:cs="Calibri"/>
          <w:noProof/>
          <w:szCs w:val="24"/>
        </w:rPr>
        <w:t xml:space="preserve">21. </w:t>
      </w:r>
      <w:r w:rsidRPr="00821369">
        <w:rPr>
          <w:rFonts w:ascii="Calibri" w:hAnsi="Calibri" w:cs="Calibri"/>
          <w:noProof/>
          <w:szCs w:val="24"/>
        </w:rPr>
        <w:tab/>
        <w:t xml:space="preserve">Hap K, Madziarska K, Hap W, et al. Are Females More Prone Than Males to Become Obese After Kidney Transplantation? </w:t>
      </w:r>
      <w:r w:rsidRPr="00821369">
        <w:rPr>
          <w:rFonts w:ascii="Calibri" w:hAnsi="Calibri" w:cs="Calibri"/>
          <w:i/>
          <w:iCs/>
          <w:noProof/>
          <w:szCs w:val="24"/>
        </w:rPr>
        <w:t>Ann Transplant</w:t>
      </w:r>
      <w:r w:rsidRPr="00821369">
        <w:rPr>
          <w:rFonts w:ascii="Calibri" w:hAnsi="Calibri" w:cs="Calibri"/>
          <w:noProof/>
          <w:szCs w:val="24"/>
        </w:rPr>
        <w:t>. 2019;24:57-61. doi:10.12659/AOT.912096</w:t>
      </w:r>
    </w:p>
    <w:p w14:paraId="3208594C" w14:textId="77777777" w:rsidR="00A51E53" w:rsidRPr="00821369" w:rsidRDefault="00A51E53" w:rsidP="00B462AD">
      <w:pPr>
        <w:widowControl w:val="0"/>
        <w:autoSpaceDE w:val="0"/>
        <w:autoSpaceDN w:val="0"/>
        <w:adjustRightInd w:val="0"/>
        <w:spacing w:after="0" w:line="276" w:lineRule="auto"/>
        <w:ind w:left="641" w:hanging="641"/>
        <w:rPr>
          <w:rFonts w:ascii="Calibri" w:hAnsi="Calibri" w:cs="Calibri"/>
          <w:noProof/>
          <w:szCs w:val="24"/>
        </w:rPr>
      </w:pPr>
      <w:r w:rsidRPr="00821369">
        <w:rPr>
          <w:rFonts w:ascii="Calibri" w:hAnsi="Calibri" w:cs="Calibri"/>
          <w:noProof/>
          <w:szCs w:val="24"/>
        </w:rPr>
        <w:lastRenderedPageBreak/>
        <w:t xml:space="preserve">22. </w:t>
      </w:r>
      <w:r w:rsidRPr="00821369">
        <w:rPr>
          <w:rFonts w:ascii="Calibri" w:hAnsi="Calibri" w:cs="Calibri"/>
          <w:noProof/>
          <w:szCs w:val="24"/>
        </w:rPr>
        <w:tab/>
        <w:t xml:space="preserve">Altheaby A, Alajlan N, Shaheen MF, et al. Weight gain after renal transplant: Incidence, risk factors, and outcomes. </w:t>
      </w:r>
      <w:r w:rsidRPr="00821369">
        <w:rPr>
          <w:rFonts w:ascii="Calibri" w:hAnsi="Calibri" w:cs="Calibri"/>
          <w:i/>
          <w:iCs/>
          <w:noProof/>
          <w:szCs w:val="24"/>
        </w:rPr>
        <w:t>PLoS One</w:t>
      </w:r>
      <w:r w:rsidRPr="00821369">
        <w:rPr>
          <w:rFonts w:ascii="Calibri" w:hAnsi="Calibri" w:cs="Calibri"/>
          <w:noProof/>
          <w:szCs w:val="24"/>
        </w:rPr>
        <w:t>. 2022;17(6 June):1-10. doi:10.1371/journal.pone.0268044</w:t>
      </w:r>
    </w:p>
    <w:p w14:paraId="05568FC1" w14:textId="77777777" w:rsidR="00A51E53" w:rsidRPr="00821369" w:rsidRDefault="00A51E53" w:rsidP="00B462AD">
      <w:pPr>
        <w:widowControl w:val="0"/>
        <w:autoSpaceDE w:val="0"/>
        <w:autoSpaceDN w:val="0"/>
        <w:adjustRightInd w:val="0"/>
        <w:spacing w:after="0" w:line="276" w:lineRule="auto"/>
        <w:ind w:left="641" w:hanging="641"/>
        <w:rPr>
          <w:rFonts w:ascii="Calibri" w:hAnsi="Calibri" w:cs="Calibri"/>
          <w:noProof/>
          <w:szCs w:val="24"/>
        </w:rPr>
      </w:pPr>
      <w:r w:rsidRPr="00821369">
        <w:rPr>
          <w:rFonts w:ascii="Calibri" w:hAnsi="Calibri" w:cs="Calibri"/>
          <w:noProof/>
          <w:szCs w:val="24"/>
        </w:rPr>
        <w:t xml:space="preserve">23. </w:t>
      </w:r>
      <w:r w:rsidRPr="00821369">
        <w:rPr>
          <w:rFonts w:ascii="Calibri" w:hAnsi="Calibri" w:cs="Calibri"/>
          <w:noProof/>
          <w:szCs w:val="24"/>
        </w:rPr>
        <w:tab/>
        <w:t xml:space="preserve">Conley MM, McFarlane CM, Johnson DW, Kelly JT, Campbell KL, MacLaughlin HL. Interventions for weight loss in people with chronic kidney disease who are overweight or obese. </w:t>
      </w:r>
      <w:r w:rsidRPr="00821369">
        <w:rPr>
          <w:rFonts w:ascii="Calibri" w:hAnsi="Calibri" w:cs="Calibri"/>
          <w:i/>
          <w:iCs/>
          <w:noProof/>
          <w:szCs w:val="24"/>
        </w:rPr>
        <w:t>Cochrane Database Syst Rev</w:t>
      </w:r>
      <w:r w:rsidRPr="00821369">
        <w:rPr>
          <w:rFonts w:ascii="Calibri" w:hAnsi="Calibri" w:cs="Calibri"/>
          <w:noProof/>
          <w:szCs w:val="24"/>
        </w:rPr>
        <w:t>. 2021;2021(3). doi:10.1002/14651858.CD013119.pub2</w:t>
      </w:r>
    </w:p>
    <w:p w14:paraId="64D59C1A" w14:textId="77777777" w:rsidR="00A51E53" w:rsidRPr="00280BC8" w:rsidRDefault="00A51E53" w:rsidP="00B462AD">
      <w:pPr>
        <w:widowControl w:val="0"/>
        <w:autoSpaceDE w:val="0"/>
        <w:autoSpaceDN w:val="0"/>
        <w:adjustRightInd w:val="0"/>
        <w:spacing w:after="0" w:line="276" w:lineRule="auto"/>
        <w:ind w:left="641" w:hanging="641"/>
        <w:rPr>
          <w:rFonts w:ascii="Calibri" w:hAnsi="Calibri" w:cs="Calibri"/>
          <w:noProof/>
          <w:szCs w:val="24"/>
          <w:lang w:val="da-DK"/>
        </w:rPr>
      </w:pPr>
      <w:r w:rsidRPr="00821369">
        <w:rPr>
          <w:rFonts w:ascii="Calibri" w:hAnsi="Calibri" w:cs="Calibri"/>
          <w:noProof/>
          <w:szCs w:val="24"/>
        </w:rPr>
        <w:t xml:space="preserve">24. </w:t>
      </w:r>
      <w:r w:rsidRPr="00821369">
        <w:rPr>
          <w:rFonts w:ascii="Calibri" w:hAnsi="Calibri" w:cs="Calibri"/>
          <w:noProof/>
          <w:szCs w:val="24"/>
        </w:rPr>
        <w:tab/>
        <w:t xml:space="preserve">Orazio LK, Isbel NM, Armstrong KA, et al. Evaluation of Dietetic Advice for Modification of Cardiovascular Disease Risk Factors in Renal Transplant Recipients. </w:t>
      </w:r>
      <w:r w:rsidRPr="00280BC8">
        <w:rPr>
          <w:rFonts w:ascii="Calibri" w:hAnsi="Calibri" w:cs="Calibri"/>
          <w:i/>
          <w:iCs/>
          <w:noProof/>
          <w:szCs w:val="24"/>
          <w:lang w:val="da-DK"/>
        </w:rPr>
        <w:t>J Ren Nutr</w:t>
      </w:r>
      <w:r w:rsidRPr="00280BC8">
        <w:rPr>
          <w:rFonts w:ascii="Calibri" w:hAnsi="Calibri" w:cs="Calibri"/>
          <w:noProof/>
          <w:szCs w:val="24"/>
          <w:lang w:val="da-DK"/>
        </w:rPr>
        <w:t>. 2011;21(6):462-471. doi:10.1053/J.JRN.2010.12.002</w:t>
      </w:r>
    </w:p>
    <w:p w14:paraId="71D28C1A" w14:textId="77777777" w:rsidR="00A51E53" w:rsidRPr="00821369" w:rsidRDefault="00A51E53" w:rsidP="00B462AD">
      <w:pPr>
        <w:widowControl w:val="0"/>
        <w:autoSpaceDE w:val="0"/>
        <w:autoSpaceDN w:val="0"/>
        <w:adjustRightInd w:val="0"/>
        <w:spacing w:after="0" w:line="276" w:lineRule="auto"/>
        <w:ind w:left="641" w:hanging="641"/>
        <w:rPr>
          <w:rFonts w:ascii="Calibri" w:hAnsi="Calibri" w:cs="Calibri"/>
          <w:noProof/>
          <w:szCs w:val="24"/>
        </w:rPr>
      </w:pPr>
      <w:r w:rsidRPr="00280BC8">
        <w:rPr>
          <w:rFonts w:ascii="Calibri" w:hAnsi="Calibri" w:cs="Calibri"/>
          <w:noProof/>
          <w:szCs w:val="24"/>
          <w:lang w:val="da-DK"/>
        </w:rPr>
        <w:t xml:space="preserve">25. </w:t>
      </w:r>
      <w:r w:rsidRPr="00280BC8">
        <w:rPr>
          <w:rFonts w:ascii="Calibri" w:hAnsi="Calibri" w:cs="Calibri"/>
          <w:noProof/>
          <w:szCs w:val="24"/>
          <w:lang w:val="da-DK"/>
        </w:rPr>
        <w:tab/>
        <w:t xml:space="preserve">Henggeler CK, Plank LD, Ryan KJ, et al. </w:t>
      </w:r>
      <w:r w:rsidRPr="00821369">
        <w:rPr>
          <w:rFonts w:ascii="Calibri" w:hAnsi="Calibri" w:cs="Calibri"/>
          <w:noProof/>
          <w:szCs w:val="24"/>
        </w:rPr>
        <w:t xml:space="preserve">A Randomized Controlled Trial of an Intensive Nutrition Intervention Versus Standard Nutrition Care to Avoid Excess Weight Gain After Kidney Transplantation: The INTENT Trial. </w:t>
      </w:r>
      <w:r w:rsidRPr="00821369">
        <w:rPr>
          <w:rFonts w:ascii="Calibri" w:hAnsi="Calibri" w:cs="Calibri"/>
          <w:i/>
          <w:iCs/>
          <w:noProof/>
          <w:szCs w:val="24"/>
        </w:rPr>
        <w:t>J Ren Nutr</w:t>
      </w:r>
      <w:r w:rsidRPr="00821369">
        <w:rPr>
          <w:rFonts w:ascii="Calibri" w:hAnsi="Calibri" w:cs="Calibri"/>
          <w:noProof/>
          <w:szCs w:val="24"/>
        </w:rPr>
        <w:t>. 2018;28(5):340-351. doi:10.1053/j.jrn.2018.03.001</w:t>
      </w:r>
    </w:p>
    <w:p w14:paraId="3555A88C" w14:textId="77777777" w:rsidR="00A51E53" w:rsidRPr="00821369" w:rsidRDefault="00A51E53" w:rsidP="00B462AD">
      <w:pPr>
        <w:widowControl w:val="0"/>
        <w:autoSpaceDE w:val="0"/>
        <w:autoSpaceDN w:val="0"/>
        <w:adjustRightInd w:val="0"/>
        <w:spacing w:after="0" w:line="276" w:lineRule="auto"/>
        <w:ind w:left="641" w:hanging="641"/>
        <w:rPr>
          <w:rFonts w:ascii="Calibri" w:hAnsi="Calibri" w:cs="Calibri"/>
          <w:noProof/>
          <w:szCs w:val="24"/>
        </w:rPr>
      </w:pPr>
      <w:r w:rsidRPr="00821369">
        <w:rPr>
          <w:rFonts w:ascii="Calibri" w:hAnsi="Calibri" w:cs="Calibri"/>
          <w:noProof/>
          <w:szCs w:val="24"/>
        </w:rPr>
        <w:t xml:space="preserve">26. </w:t>
      </w:r>
      <w:r w:rsidRPr="00821369">
        <w:rPr>
          <w:rFonts w:ascii="Calibri" w:hAnsi="Calibri" w:cs="Calibri"/>
          <w:noProof/>
          <w:szCs w:val="24"/>
        </w:rPr>
        <w:tab/>
        <w:t xml:space="preserve">Tzvetanov I, West-Thielke P, D’Amico G, et al. A novel and personalized rehabilitation program for obese kidney transplant recipients. </w:t>
      </w:r>
      <w:r w:rsidRPr="00821369">
        <w:rPr>
          <w:rFonts w:ascii="Calibri" w:hAnsi="Calibri" w:cs="Calibri"/>
          <w:i/>
          <w:iCs/>
          <w:noProof/>
          <w:szCs w:val="24"/>
        </w:rPr>
        <w:t>Transplant Proc</w:t>
      </w:r>
      <w:r w:rsidRPr="00821369">
        <w:rPr>
          <w:rFonts w:ascii="Calibri" w:hAnsi="Calibri" w:cs="Calibri"/>
          <w:noProof/>
          <w:szCs w:val="24"/>
        </w:rPr>
        <w:t>. 2014;46(10):3431-3437. doi:10.1016/j.transproceed.2014.05.085</w:t>
      </w:r>
    </w:p>
    <w:p w14:paraId="322FDA4D" w14:textId="77777777" w:rsidR="00A51E53" w:rsidRPr="00821369" w:rsidRDefault="00A51E53" w:rsidP="00B462AD">
      <w:pPr>
        <w:widowControl w:val="0"/>
        <w:autoSpaceDE w:val="0"/>
        <w:autoSpaceDN w:val="0"/>
        <w:adjustRightInd w:val="0"/>
        <w:spacing w:after="0" w:line="276" w:lineRule="auto"/>
        <w:ind w:left="641" w:hanging="641"/>
        <w:rPr>
          <w:rFonts w:ascii="Calibri" w:hAnsi="Calibri" w:cs="Calibri"/>
          <w:noProof/>
          <w:szCs w:val="24"/>
        </w:rPr>
      </w:pPr>
      <w:r w:rsidRPr="00821369">
        <w:rPr>
          <w:rFonts w:ascii="Calibri" w:hAnsi="Calibri" w:cs="Calibri"/>
          <w:noProof/>
          <w:szCs w:val="24"/>
        </w:rPr>
        <w:t xml:space="preserve">27. </w:t>
      </w:r>
      <w:r w:rsidRPr="00821369">
        <w:rPr>
          <w:rFonts w:ascii="Calibri" w:hAnsi="Calibri" w:cs="Calibri"/>
          <w:noProof/>
          <w:szCs w:val="24"/>
        </w:rPr>
        <w:tab/>
        <w:t xml:space="preserve">Kuningas K, Driscoll J, Mair R, et al. Comparing glycaemic benefits of active versus passive lifestyle intervention in kidney allograft recipients: A randomized controlled trial. </w:t>
      </w:r>
      <w:r w:rsidRPr="00821369">
        <w:rPr>
          <w:rFonts w:ascii="Calibri" w:hAnsi="Calibri" w:cs="Calibri"/>
          <w:i/>
          <w:iCs/>
          <w:noProof/>
          <w:szCs w:val="24"/>
        </w:rPr>
        <w:t>Transplantation</w:t>
      </w:r>
      <w:r w:rsidRPr="00821369">
        <w:rPr>
          <w:rFonts w:ascii="Calibri" w:hAnsi="Calibri" w:cs="Calibri"/>
          <w:noProof/>
          <w:szCs w:val="24"/>
        </w:rPr>
        <w:t>. 2020;104(7):1491-1499. doi:10.1097/TP.0000000000002969</w:t>
      </w:r>
    </w:p>
    <w:p w14:paraId="70D694D6" w14:textId="77777777" w:rsidR="00A51E53" w:rsidRPr="00821369" w:rsidRDefault="00A51E53" w:rsidP="00B462AD">
      <w:pPr>
        <w:widowControl w:val="0"/>
        <w:autoSpaceDE w:val="0"/>
        <w:autoSpaceDN w:val="0"/>
        <w:adjustRightInd w:val="0"/>
        <w:spacing w:after="0" w:line="276" w:lineRule="auto"/>
        <w:ind w:left="641" w:hanging="641"/>
        <w:rPr>
          <w:rFonts w:ascii="Calibri" w:hAnsi="Calibri" w:cs="Calibri"/>
          <w:noProof/>
          <w:szCs w:val="24"/>
        </w:rPr>
      </w:pPr>
      <w:r w:rsidRPr="00821369">
        <w:rPr>
          <w:rFonts w:ascii="Calibri" w:hAnsi="Calibri" w:cs="Calibri"/>
          <w:noProof/>
          <w:szCs w:val="24"/>
        </w:rPr>
        <w:t xml:space="preserve">28. </w:t>
      </w:r>
      <w:r w:rsidRPr="00821369">
        <w:rPr>
          <w:rFonts w:ascii="Calibri" w:hAnsi="Calibri" w:cs="Calibri"/>
          <w:noProof/>
          <w:szCs w:val="24"/>
        </w:rPr>
        <w:tab/>
        <w:t xml:space="preserve">Kuningas, K.; Driscoll J.;Mair, R.;Day E.;Sharif A. Short-term Healthy Lifestyle Intervention and Long-term Behavior Change After Kidney Transplantation: Findings From the CAVIAR Study. </w:t>
      </w:r>
      <w:r w:rsidRPr="00821369">
        <w:rPr>
          <w:rFonts w:ascii="Calibri" w:hAnsi="Calibri" w:cs="Calibri"/>
          <w:i/>
          <w:iCs/>
          <w:noProof/>
          <w:szCs w:val="24"/>
        </w:rPr>
        <w:t>Am J Kidney Dis</w:t>
      </w:r>
      <w:r w:rsidRPr="00821369">
        <w:rPr>
          <w:rFonts w:ascii="Calibri" w:hAnsi="Calibri" w:cs="Calibri"/>
          <w:noProof/>
          <w:szCs w:val="24"/>
        </w:rPr>
        <w:t>. 2022;Pre-proof.</w:t>
      </w:r>
    </w:p>
    <w:p w14:paraId="7318BFEA" w14:textId="77777777" w:rsidR="00A51E53" w:rsidRPr="00821369" w:rsidRDefault="00A51E53" w:rsidP="00B462AD">
      <w:pPr>
        <w:widowControl w:val="0"/>
        <w:autoSpaceDE w:val="0"/>
        <w:autoSpaceDN w:val="0"/>
        <w:adjustRightInd w:val="0"/>
        <w:spacing w:after="0" w:line="276" w:lineRule="auto"/>
        <w:ind w:left="641" w:hanging="641"/>
        <w:rPr>
          <w:rFonts w:ascii="Calibri" w:hAnsi="Calibri" w:cs="Calibri"/>
          <w:noProof/>
          <w:szCs w:val="24"/>
        </w:rPr>
      </w:pPr>
      <w:r w:rsidRPr="00821369">
        <w:rPr>
          <w:rFonts w:ascii="Calibri" w:hAnsi="Calibri" w:cs="Calibri"/>
          <w:noProof/>
          <w:szCs w:val="24"/>
        </w:rPr>
        <w:t xml:space="preserve">29. </w:t>
      </w:r>
      <w:r w:rsidRPr="00821369">
        <w:rPr>
          <w:rFonts w:ascii="Calibri" w:hAnsi="Calibri" w:cs="Calibri"/>
          <w:noProof/>
          <w:szCs w:val="24"/>
        </w:rPr>
        <w:tab/>
        <w:t xml:space="preserve">De Vries L V., Dobrowolski LC, Van Den Bosch JJON, et al. Effects of dietary sodium restriction in kidney transplant recipients treated with renin-angiotensin-aldosterone system blockade: A randomized clinical trial. </w:t>
      </w:r>
      <w:r w:rsidRPr="00821369">
        <w:rPr>
          <w:rFonts w:ascii="Calibri" w:hAnsi="Calibri" w:cs="Calibri"/>
          <w:i/>
          <w:iCs/>
          <w:noProof/>
          <w:szCs w:val="24"/>
        </w:rPr>
        <w:t>Am J Kidney Dis</w:t>
      </w:r>
      <w:r w:rsidRPr="00821369">
        <w:rPr>
          <w:rFonts w:ascii="Calibri" w:hAnsi="Calibri" w:cs="Calibri"/>
          <w:noProof/>
          <w:szCs w:val="24"/>
        </w:rPr>
        <w:t>. 2016;67(6):936-944. doi:10.1053/j.ajkd.2015.11.026</w:t>
      </w:r>
    </w:p>
    <w:p w14:paraId="17875CAF" w14:textId="77777777" w:rsidR="00A51E53" w:rsidRPr="00821369" w:rsidRDefault="00A51E53" w:rsidP="00B462AD">
      <w:pPr>
        <w:widowControl w:val="0"/>
        <w:autoSpaceDE w:val="0"/>
        <w:autoSpaceDN w:val="0"/>
        <w:adjustRightInd w:val="0"/>
        <w:spacing w:after="0" w:line="276" w:lineRule="auto"/>
        <w:ind w:left="641" w:hanging="641"/>
        <w:rPr>
          <w:rFonts w:ascii="Calibri" w:hAnsi="Calibri" w:cs="Calibri"/>
          <w:noProof/>
          <w:szCs w:val="24"/>
        </w:rPr>
      </w:pPr>
      <w:r w:rsidRPr="00821369">
        <w:rPr>
          <w:rFonts w:ascii="Calibri" w:hAnsi="Calibri" w:cs="Calibri"/>
          <w:noProof/>
          <w:szCs w:val="24"/>
        </w:rPr>
        <w:t xml:space="preserve">30. </w:t>
      </w:r>
      <w:r w:rsidRPr="00821369">
        <w:rPr>
          <w:rFonts w:ascii="Calibri" w:hAnsi="Calibri" w:cs="Calibri"/>
          <w:noProof/>
          <w:szCs w:val="24"/>
        </w:rPr>
        <w:tab/>
        <w:t xml:space="preserve">Osté MCJ, Gomes-Neto AW, Corpeleijn E, et al. Dietary Approach to Stop Hypertension (DASH) diet and risk of renal function decline and all-cause mortality in renal transplant recipients. </w:t>
      </w:r>
      <w:r w:rsidRPr="00821369">
        <w:rPr>
          <w:rFonts w:ascii="Calibri" w:hAnsi="Calibri" w:cs="Calibri"/>
          <w:i/>
          <w:iCs/>
          <w:noProof/>
          <w:szCs w:val="24"/>
        </w:rPr>
        <w:t>Am J Transplant</w:t>
      </w:r>
      <w:r w:rsidRPr="00821369">
        <w:rPr>
          <w:rFonts w:ascii="Calibri" w:hAnsi="Calibri" w:cs="Calibri"/>
          <w:noProof/>
          <w:szCs w:val="24"/>
        </w:rPr>
        <w:t>. 2018;18(10):2523-2533. doi:10.1111/ajt.14707</w:t>
      </w:r>
    </w:p>
    <w:p w14:paraId="3EFB75F9" w14:textId="77777777" w:rsidR="00A51E53" w:rsidRPr="00821369" w:rsidRDefault="00A51E53" w:rsidP="00B462AD">
      <w:pPr>
        <w:widowControl w:val="0"/>
        <w:autoSpaceDE w:val="0"/>
        <w:autoSpaceDN w:val="0"/>
        <w:adjustRightInd w:val="0"/>
        <w:spacing w:after="0" w:line="276" w:lineRule="auto"/>
        <w:ind w:left="641" w:hanging="641"/>
        <w:rPr>
          <w:rFonts w:ascii="Calibri" w:hAnsi="Calibri" w:cs="Calibri"/>
          <w:noProof/>
          <w:szCs w:val="24"/>
        </w:rPr>
      </w:pPr>
      <w:r w:rsidRPr="00821369">
        <w:rPr>
          <w:rFonts w:ascii="Calibri" w:hAnsi="Calibri" w:cs="Calibri"/>
          <w:noProof/>
          <w:szCs w:val="24"/>
        </w:rPr>
        <w:t xml:space="preserve">31. </w:t>
      </w:r>
      <w:r w:rsidRPr="00821369">
        <w:rPr>
          <w:rFonts w:ascii="Calibri" w:hAnsi="Calibri" w:cs="Calibri"/>
          <w:noProof/>
          <w:szCs w:val="24"/>
        </w:rPr>
        <w:tab/>
        <w:t xml:space="preserve">Van Den Berg E, Geleijnse JM, Brink EJ, et al. Sodium intake and blood pressure in renal transplant recipients. </w:t>
      </w:r>
      <w:r w:rsidRPr="00821369">
        <w:rPr>
          <w:rFonts w:ascii="Calibri" w:hAnsi="Calibri" w:cs="Calibri"/>
          <w:i/>
          <w:iCs/>
          <w:noProof/>
          <w:szCs w:val="24"/>
        </w:rPr>
        <w:t>Nephrol Dial Transplant</w:t>
      </w:r>
      <w:r w:rsidRPr="00821369">
        <w:rPr>
          <w:rFonts w:ascii="Calibri" w:hAnsi="Calibri" w:cs="Calibri"/>
          <w:noProof/>
          <w:szCs w:val="24"/>
        </w:rPr>
        <w:t>. 2012;27(8):3352-3359. doi:10.1093/ndt/gfs069</w:t>
      </w:r>
    </w:p>
    <w:p w14:paraId="4FE9A779" w14:textId="77777777" w:rsidR="00A51E53" w:rsidRPr="00821369" w:rsidRDefault="00A51E53" w:rsidP="00B462AD">
      <w:pPr>
        <w:widowControl w:val="0"/>
        <w:autoSpaceDE w:val="0"/>
        <w:autoSpaceDN w:val="0"/>
        <w:adjustRightInd w:val="0"/>
        <w:spacing w:after="0" w:line="276" w:lineRule="auto"/>
        <w:ind w:left="641" w:hanging="641"/>
        <w:rPr>
          <w:rFonts w:ascii="Calibri" w:hAnsi="Calibri" w:cs="Calibri"/>
          <w:noProof/>
          <w:szCs w:val="24"/>
        </w:rPr>
      </w:pPr>
      <w:r w:rsidRPr="00821369">
        <w:rPr>
          <w:rFonts w:ascii="Calibri" w:hAnsi="Calibri" w:cs="Calibri"/>
          <w:noProof/>
          <w:szCs w:val="24"/>
        </w:rPr>
        <w:t xml:space="preserve">32. </w:t>
      </w:r>
      <w:r w:rsidRPr="00821369">
        <w:rPr>
          <w:rFonts w:ascii="Calibri" w:hAnsi="Calibri" w:cs="Calibri"/>
          <w:noProof/>
          <w:szCs w:val="24"/>
        </w:rPr>
        <w:tab/>
        <w:t xml:space="preserve">McMahon EJ, Campbell KL, Bauer JD, Mudge DW, Kelly JT. Altered dietary salt intake for people with chronic kidney disease. </w:t>
      </w:r>
      <w:r w:rsidRPr="00821369">
        <w:rPr>
          <w:rFonts w:ascii="Calibri" w:hAnsi="Calibri" w:cs="Calibri"/>
          <w:i/>
          <w:iCs/>
          <w:noProof/>
          <w:szCs w:val="24"/>
        </w:rPr>
        <w:t>Cochrane Database Syst Rev</w:t>
      </w:r>
      <w:r w:rsidRPr="00821369">
        <w:rPr>
          <w:rFonts w:ascii="Calibri" w:hAnsi="Calibri" w:cs="Calibri"/>
          <w:noProof/>
          <w:szCs w:val="24"/>
        </w:rPr>
        <w:t>. 2021;2021(6). doi:10.1002/14651858.CD010070.pub3</w:t>
      </w:r>
    </w:p>
    <w:p w14:paraId="51CABAE0" w14:textId="77777777" w:rsidR="00A51E53" w:rsidRPr="00821369" w:rsidRDefault="00A51E53" w:rsidP="00B462AD">
      <w:pPr>
        <w:widowControl w:val="0"/>
        <w:autoSpaceDE w:val="0"/>
        <w:autoSpaceDN w:val="0"/>
        <w:adjustRightInd w:val="0"/>
        <w:spacing w:after="0" w:line="276" w:lineRule="auto"/>
        <w:ind w:left="641" w:hanging="641"/>
        <w:rPr>
          <w:rFonts w:ascii="Calibri" w:hAnsi="Calibri" w:cs="Calibri"/>
          <w:noProof/>
          <w:szCs w:val="24"/>
        </w:rPr>
      </w:pPr>
      <w:r w:rsidRPr="00821369">
        <w:rPr>
          <w:rFonts w:ascii="Calibri" w:hAnsi="Calibri" w:cs="Calibri"/>
          <w:noProof/>
          <w:szCs w:val="24"/>
        </w:rPr>
        <w:t xml:space="preserve">33. </w:t>
      </w:r>
      <w:r w:rsidRPr="00821369">
        <w:rPr>
          <w:rFonts w:ascii="Calibri" w:hAnsi="Calibri" w:cs="Calibri"/>
          <w:noProof/>
          <w:szCs w:val="24"/>
        </w:rPr>
        <w:tab/>
        <w:t xml:space="preserve">Fish R, Chitalia N, Doulton T, et al. </w:t>
      </w:r>
      <w:r w:rsidRPr="00821369">
        <w:rPr>
          <w:rFonts w:ascii="Calibri" w:hAnsi="Calibri" w:cs="Calibri"/>
          <w:i/>
          <w:iCs/>
          <w:noProof/>
          <w:szCs w:val="24"/>
        </w:rPr>
        <w:t>Commentary on NICE Guideline (NG136) “Hypertension in Adults: Diagnosis and Management” Including Proposals for Blood Pressure Management in Patients with Chronic Kidney Disease</w:t>
      </w:r>
      <w:r w:rsidRPr="00821369">
        <w:rPr>
          <w:rFonts w:ascii="Calibri" w:hAnsi="Calibri" w:cs="Calibri"/>
          <w:noProof/>
          <w:szCs w:val="24"/>
        </w:rPr>
        <w:t>.; 2021.</w:t>
      </w:r>
    </w:p>
    <w:p w14:paraId="69700F1F" w14:textId="77777777" w:rsidR="00A51E53" w:rsidRPr="00821369" w:rsidRDefault="00A51E53" w:rsidP="00B462AD">
      <w:pPr>
        <w:widowControl w:val="0"/>
        <w:autoSpaceDE w:val="0"/>
        <w:autoSpaceDN w:val="0"/>
        <w:adjustRightInd w:val="0"/>
        <w:spacing w:after="0" w:line="276" w:lineRule="auto"/>
        <w:ind w:left="641" w:hanging="641"/>
        <w:rPr>
          <w:rFonts w:ascii="Calibri" w:hAnsi="Calibri" w:cs="Calibri"/>
          <w:noProof/>
          <w:szCs w:val="24"/>
        </w:rPr>
      </w:pPr>
      <w:r w:rsidRPr="00821369">
        <w:rPr>
          <w:rFonts w:ascii="Calibri" w:hAnsi="Calibri" w:cs="Calibri"/>
          <w:noProof/>
          <w:szCs w:val="24"/>
        </w:rPr>
        <w:t xml:space="preserve">34. </w:t>
      </w:r>
      <w:r w:rsidRPr="00821369">
        <w:rPr>
          <w:rFonts w:ascii="Calibri" w:hAnsi="Calibri" w:cs="Calibri"/>
          <w:noProof/>
          <w:szCs w:val="24"/>
        </w:rPr>
        <w:tab/>
        <w:t xml:space="preserve">Kidney Disease: Improving Global Outcomes (KDIGO) Blood Pressure Work Group. KDIGO 2021 Clinical Practice Guideline for the Management of Blood Pressure in Chronic Kidney Disease. </w:t>
      </w:r>
      <w:r w:rsidRPr="00821369">
        <w:rPr>
          <w:rFonts w:ascii="Calibri" w:hAnsi="Calibri" w:cs="Calibri"/>
          <w:i/>
          <w:iCs/>
          <w:noProof/>
          <w:szCs w:val="24"/>
        </w:rPr>
        <w:t>Kidney Int</w:t>
      </w:r>
      <w:r w:rsidRPr="00821369">
        <w:rPr>
          <w:rFonts w:ascii="Calibri" w:hAnsi="Calibri" w:cs="Calibri"/>
          <w:noProof/>
          <w:szCs w:val="24"/>
        </w:rPr>
        <w:t>. 2021;99(3S):S1-S87.</w:t>
      </w:r>
    </w:p>
    <w:p w14:paraId="0B00F9BF" w14:textId="77777777" w:rsidR="00A51E53" w:rsidRPr="00821369" w:rsidRDefault="00A51E53" w:rsidP="00B462AD">
      <w:pPr>
        <w:widowControl w:val="0"/>
        <w:autoSpaceDE w:val="0"/>
        <w:autoSpaceDN w:val="0"/>
        <w:adjustRightInd w:val="0"/>
        <w:spacing w:after="0" w:line="276" w:lineRule="auto"/>
        <w:ind w:left="641" w:hanging="641"/>
        <w:rPr>
          <w:rFonts w:ascii="Calibri" w:hAnsi="Calibri" w:cs="Calibri"/>
          <w:noProof/>
          <w:szCs w:val="24"/>
        </w:rPr>
      </w:pPr>
      <w:r w:rsidRPr="00821369">
        <w:rPr>
          <w:rFonts w:ascii="Calibri" w:hAnsi="Calibri" w:cs="Calibri"/>
          <w:noProof/>
          <w:szCs w:val="24"/>
        </w:rPr>
        <w:t xml:space="preserve">35. </w:t>
      </w:r>
      <w:r w:rsidRPr="00821369">
        <w:rPr>
          <w:rFonts w:ascii="Calibri" w:hAnsi="Calibri" w:cs="Calibri"/>
          <w:noProof/>
          <w:szCs w:val="24"/>
        </w:rPr>
        <w:tab/>
        <w:t xml:space="preserve">Michie S, Ashford S, Sniehotta FF, Dombrowski SU, Bishop A, French DP. A refined taxonomy of behaviour change techniques to help people change their physical activity and healthy eating behaviours: The CALO-RE taxonomy. </w:t>
      </w:r>
      <w:r w:rsidRPr="00821369">
        <w:rPr>
          <w:rFonts w:ascii="Calibri" w:hAnsi="Calibri" w:cs="Calibri"/>
          <w:i/>
          <w:iCs/>
          <w:noProof/>
          <w:szCs w:val="24"/>
        </w:rPr>
        <w:t>Psychol Heal</w:t>
      </w:r>
      <w:r w:rsidRPr="00821369">
        <w:rPr>
          <w:rFonts w:ascii="Calibri" w:hAnsi="Calibri" w:cs="Calibri"/>
          <w:noProof/>
          <w:szCs w:val="24"/>
        </w:rPr>
        <w:t>. 2011;26(11):1479-1498. doi:10.1080/08870446.2010.540664</w:t>
      </w:r>
    </w:p>
    <w:p w14:paraId="3F79D3ED" w14:textId="77777777" w:rsidR="00A51E53" w:rsidRPr="00821369" w:rsidRDefault="00A51E53" w:rsidP="00B462AD">
      <w:pPr>
        <w:widowControl w:val="0"/>
        <w:autoSpaceDE w:val="0"/>
        <w:autoSpaceDN w:val="0"/>
        <w:adjustRightInd w:val="0"/>
        <w:spacing w:after="0" w:line="276" w:lineRule="auto"/>
        <w:ind w:left="641" w:hanging="641"/>
        <w:rPr>
          <w:rFonts w:ascii="Calibri" w:hAnsi="Calibri" w:cs="Calibri"/>
          <w:noProof/>
          <w:szCs w:val="24"/>
        </w:rPr>
      </w:pPr>
      <w:r w:rsidRPr="00821369">
        <w:rPr>
          <w:rFonts w:ascii="Calibri" w:hAnsi="Calibri" w:cs="Calibri"/>
          <w:noProof/>
          <w:szCs w:val="24"/>
        </w:rPr>
        <w:t xml:space="preserve">36. </w:t>
      </w:r>
      <w:r w:rsidRPr="00821369">
        <w:rPr>
          <w:rFonts w:ascii="Calibri" w:hAnsi="Calibri" w:cs="Calibri"/>
          <w:noProof/>
          <w:szCs w:val="24"/>
        </w:rPr>
        <w:tab/>
        <w:t xml:space="preserve">Serper M, Barankay I, Chadha S, et al. A randomized, controlled, behavioral intervention to </w:t>
      </w:r>
      <w:r w:rsidRPr="00821369">
        <w:rPr>
          <w:rFonts w:ascii="Calibri" w:hAnsi="Calibri" w:cs="Calibri"/>
          <w:noProof/>
          <w:szCs w:val="24"/>
        </w:rPr>
        <w:lastRenderedPageBreak/>
        <w:t xml:space="preserve">promote walking after abdominal organ transplantation: results from the LIFT study. </w:t>
      </w:r>
      <w:r w:rsidRPr="00821369">
        <w:rPr>
          <w:rFonts w:ascii="Calibri" w:hAnsi="Calibri" w:cs="Calibri"/>
          <w:i/>
          <w:iCs/>
          <w:noProof/>
          <w:szCs w:val="24"/>
        </w:rPr>
        <w:t>Transpl Int</w:t>
      </w:r>
      <w:r w:rsidRPr="00821369">
        <w:rPr>
          <w:rFonts w:ascii="Calibri" w:hAnsi="Calibri" w:cs="Calibri"/>
          <w:noProof/>
          <w:szCs w:val="24"/>
        </w:rPr>
        <w:t>. 2020;33(6):632-643. doi:10.1111/tri.13570</w:t>
      </w:r>
    </w:p>
    <w:p w14:paraId="3FC40623" w14:textId="77777777" w:rsidR="00A51E53" w:rsidRPr="00821369" w:rsidRDefault="00A51E53" w:rsidP="00B462AD">
      <w:pPr>
        <w:widowControl w:val="0"/>
        <w:autoSpaceDE w:val="0"/>
        <w:autoSpaceDN w:val="0"/>
        <w:adjustRightInd w:val="0"/>
        <w:spacing w:after="0" w:line="276" w:lineRule="auto"/>
        <w:ind w:left="641" w:hanging="641"/>
        <w:rPr>
          <w:rFonts w:ascii="Calibri" w:hAnsi="Calibri" w:cs="Calibri"/>
          <w:noProof/>
          <w:szCs w:val="24"/>
        </w:rPr>
      </w:pPr>
      <w:r w:rsidRPr="00821369">
        <w:rPr>
          <w:rFonts w:ascii="Calibri" w:hAnsi="Calibri" w:cs="Calibri"/>
          <w:noProof/>
          <w:szCs w:val="24"/>
        </w:rPr>
        <w:t xml:space="preserve">37. </w:t>
      </w:r>
      <w:r w:rsidRPr="00821369">
        <w:rPr>
          <w:rFonts w:ascii="Calibri" w:hAnsi="Calibri" w:cs="Calibri"/>
          <w:noProof/>
          <w:szCs w:val="24"/>
        </w:rPr>
        <w:tab/>
        <w:t xml:space="preserve">Schmid-Mohler G, Zala P, Graf N, et al. Comparison of a Behavioral Versus an Educational Weight Management Intervention after Renal Transplantation: A Randomized Controlled Trial. </w:t>
      </w:r>
      <w:r w:rsidRPr="00821369">
        <w:rPr>
          <w:rFonts w:ascii="Calibri" w:hAnsi="Calibri" w:cs="Calibri"/>
          <w:i/>
          <w:iCs/>
          <w:noProof/>
          <w:szCs w:val="24"/>
        </w:rPr>
        <w:t>Transplant Direct</w:t>
      </w:r>
      <w:r w:rsidRPr="00821369">
        <w:rPr>
          <w:rFonts w:ascii="Calibri" w:hAnsi="Calibri" w:cs="Calibri"/>
          <w:noProof/>
          <w:szCs w:val="24"/>
        </w:rPr>
        <w:t>. 2019;5(12):1-9. doi:10.1097/TXD.0000000000000936</w:t>
      </w:r>
    </w:p>
    <w:p w14:paraId="5E2C3ACA" w14:textId="77777777" w:rsidR="00A51E53" w:rsidRPr="00821369" w:rsidRDefault="00A51E53" w:rsidP="00B462AD">
      <w:pPr>
        <w:widowControl w:val="0"/>
        <w:autoSpaceDE w:val="0"/>
        <w:autoSpaceDN w:val="0"/>
        <w:adjustRightInd w:val="0"/>
        <w:spacing w:after="0" w:line="276" w:lineRule="auto"/>
        <w:ind w:left="641" w:hanging="641"/>
        <w:rPr>
          <w:rFonts w:ascii="Calibri" w:hAnsi="Calibri" w:cs="Calibri"/>
          <w:noProof/>
          <w:szCs w:val="24"/>
        </w:rPr>
      </w:pPr>
      <w:r w:rsidRPr="00821369">
        <w:rPr>
          <w:rFonts w:ascii="Calibri" w:hAnsi="Calibri" w:cs="Calibri"/>
          <w:noProof/>
          <w:szCs w:val="24"/>
        </w:rPr>
        <w:t xml:space="preserve">38. </w:t>
      </w:r>
      <w:r w:rsidRPr="00821369">
        <w:rPr>
          <w:rFonts w:ascii="Calibri" w:hAnsi="Calibri" w:cs="Calibri"/>
          <w:noProof/>
          <w:szCs w:val="24"/>
        </w:rPr>
        <w:tab/>
        <w:t xml:space="preserve">Castle EM, Dijk G, Asgari E, et al. The Feasibility and User-Experience of a Digital Health Intervention Designed to Prevent Weight Gain in New Kidney Transplant Recipients—The ExeRTiOn2 Trial. </w:t>
      </w:r>
      <w:r w:rsidRPr="00821369">
        <w:rPr>
          <w:rFonts w:ascii="Calibri" w:hAnsi="Calibri" w:cs="Calibri"/>
          <w:i/>
          <w:iCs/>
          <w:noProof/>
          <w:szCs w:val="24"/>
        </w:rPr>
        <w:t>Front Nutr</w:t>
      </w:r>
      <w:r w:rsidRPr="00821369">
        <w:rPr>
          <w:rFonts w:ascii="Calibri" w:hAnsi="Calibri" w:cs="Calibri"/>
          <w:noProof/>
          <w:szCs w:val="24"/>
        </w:rPr>
        <w:t>. 2022;9(May):1-18. doi:10.3389/fnut.2022.887580</w:t>
      </w:r>
    </w:p>
    <w:p w14:paraId="61D83B8F" w14:textId="77777777" w:rsidR="00A51E53" w:rsidRPr="00280BC8" w:rsidRDefault="00A51E53" w:rsidP="00B462AD">
      <w:pPr>
        <w:widowControl w:val="0"/>
        <w:autoSpaceDE w:val="0"/>
        <w:autoSpaceDN w:val="0"/>
        <w:adjustRightInd w:val="0"/>
        <w:spacing w:after="0" w:line="276" w:lineRule="auto"/>
        <w:ind w:left="641" w:hanging="641"/>
        <w:rPr>
          <w:rFonts w:ascii="Calibri" w:hAnsi="Calibri" w:cs="Calibri"/>
          <w:noProof/>
          <w:szCs w:val="24"/>
          <w:lang w:val="fr-FR"/>
        </w:rPr>
      </w:pPr>
      <w:r w:rsidRPr="00821369">
        <w:rPr>
          <w:rFonts w:ascii="Calibri" w:hAnsi="Calibri" w:cs="Calibri"/>
          <w:noProof/>
          <w:szCs w:val="24"/>
        </w:rPr>
        <w:t xml:space="preserve">39. </w:t>
      </w:r>
      <w:r w:rsidRPr="00821369">
        <w:rPr>
          <w:rFonts w:ascii="Calibri" w:hAnsi="Calibri" w:cs="Calibri"/>
          <w:noProof/>
          <w:szCs w:val="24"/>
        </w:rPr>
        <w:tab/>
        <w:t xml:space="preserve">Hsiao CY, Lin LW, Su YW, Yeh SH, Lee LN, Tsai FM. The Effects of an Empowerment Intervention on Renal Transplant Recipients: A Randomized Controlled Trial. </w:t>
      </w:r>
      <w:r w:rsidRPr="00280BC8">
        <w:rPr>
          <w:rFonts w:ascii="Calibri" w:hAnsi="Calibri" w:cs="Calibri"/>
          <w:i/>
          <w:iCs/>
          <w:noProof/>
          <w:szCs w:val="24"/>
          <w:lang w:val="fr-FR"/>
        </w:rPr>
        <w:t>J Nurs Res</w:t>
      </w:r>
      <w:r w:rsidRPr="00280BC8">
        <w:rPr>
          <w:rFonts w:ascii="Calibri" w:hAnsi="Calibri" w:cs="Calibri"/>
          <w:noProof/>
          <w:szCs w:val="24"/>
          <w:lang w:val="fr-FR"/>
        </w:rPr>
        <w:t>. 2016;24(3):201-210. doi:10.1097/jnr.0000000000000115</w:t>
      </w:r>
    </w:p>
    <w:p w14:paraId="3F71D788" w14:textId="77777777" w:rsidR="00A51E53" w:rsidRPr="00821369" w:rsidRDefault="00A51E53" w:rsidP="00B462AD">
      <w:pPr>
        <w:widowControl w:val="0"/>
        <w:autoSpaceDE w:val="0"/>
        <w:autoSpaceDN w:val="0"/>
        <w:adjustRightInd w:val="0"/>
        <w:spacing w:after="0" w:line="276" w:lineRule="auto"/>
        <w:ind w:left="641" w:hanging="641"/>
        <w:rPr>
          <w:rFonts w:ascii="Calibri" w:hAnsi="Calibri" w:cs="Calibri"/>
          <w:noProof/>
          <w:szCs w:val="24"/>
        </w:rPr>
      </w:pPr>
      <w:r w:rsidRPr="00280BC8">
        <w:rPr>
          <w:rFonts w:ascii="Calibri" w:hAnsi="Calibri" w:cs="Calibri"/>
          <w:noProof/>
          <w:szCs w:val="24"/>
          <w:lang w:val="fr-FR"/>
        </w:rPr>
        <w:t xml:space="preserve">40. </w:t>
      </w:r>
      <w:r w:rsidRPr="00280BC8">
        <w:rPr>
          <w:rFonts w:ascii="Calibri" w:hAnsi="Calibri" w:cs="Calibri"/>
          <w:noProof/>
          <w:szCs w:val="24"/>
          <w:lang w:val="fr-FR"/>
        </w:rPr>
        <w:tab/>
        <w:t xml:space="preserve">O’Brien T, Russell CL, Tan A, et al. </w:t>
      </w:r>
      <w:r w:rsidRPr="00821369">
        <w:rPr>
          <w:rFonts w:ascii="Calibri" w:hAnsi="Calibri" w:cs="Calibri"/>
          <w:noProof/>
          <w:szCs w:val="24"/>
        </w:rPr>
        <w:t>A Pilot Randomized Controlled Trial Using SystemCHANGE</w:t>
      </w:r>
      <w:r w:rsidRPr="00821369">
        <w:rPr>
          <w:rFonts w:ascii="Calibri" w:hAnsi="Calibri" w:cs="Calibri"/>
          <w:noProof/>
          <w:szCs w:val="24"/>
          <w:vertAlign w:val="superscript"/>
        </w:rPr>
        <w:t>TM</w:t>
      </w:r>
      <w:r w:rsidRPr="00821369">
        <w:rPr>
          <w:rFonts w:ascii="Calibri" w:hAnsi="Calibri" w:cs="Calibri"/>
          <w:noProof/>
          <w:szCs w:val="24"/>
        </w:rPr>
        <w:t xml:space="preserve"> Approach to Increase Physical Activity in Older Kidney Transplant Recipients. </w:t>
      </w:r>
      <w:r w:rsidRPr="00821369">
        <w:rPr>
          <w:rFonts w:ascii="Calibri" w:hAnsi="Calibri" w:cs="Calibri"/>
          <w:i/>
          <w:iCs/>
          <w:noProof/>
          <w:szCs w:val="24"/>
        </w:rPr>
        <w:t>Prog Transplant</w:t>
      </w:r>
      <w:r w:rsidRPr="00821369">
        <w:rPr>
          <w:rFonts w:ascii="Calibri" w:hAnsi="Calibri" w:cs="Calibri"/>
          <w:noProof/>
          <w:szCs w:val="24"/>
        </w:rPr>
        <w:t>. 2020;30(4):306-314. doi:10.1177/1526924820958148</w:t>
      </w:r>
    </w:p>
    <w:p w14:paraId="0D665C8B" w14:textId="77777777" w:rsidR="00A51E53" w:rsidRPr="00821369" w:rsidRDefault="00A51E53" w:rsidP="00B462AD">
      <w:pPr>
        <w:widowControl w:val="0"/>
        <w:autoSpaceDE w:val="0"/>
        <w:autoSpaceDN w:val="0"/>
        <w:adjustRightInd w:val="0"/>
        <w:spacing w:after="0" w:line="276" w:lineRule="auto"/>
        <w:ind w:left="641" w:hanging="641"/>
        <w:rPr>
          <w:rFonts w:ascii="Calibri" w:hAnsi="Calibri" w:cs="Calibri"/>
          <w:noProof/>
          <w:szCs w:val="24"/>
        </w:rPr>
      </w:pPr>
      <w:r w:rsidRPr="00821369">
        <w:rPr>
          <w:rFonts w:ascii="Calibri" w:hAnsi="Calibri" w:cs="Calibri"/>
          <w:noProof/>
          <w:szCs w:val="24"/>
        </w:rPr>
        <w:t xml:space="preserve">41. </w:t>
      </w:r>
      <w:r w:rsidRPr="00821369">
        <w:rPr>
          <w:rFonts w:ascii="Calibri" w:hAnsi="Calibri" w:cs="Calibri"/>
          <w:noProof/>
          <w:szCs w:val="24"/>
        </w:rPr>
        <w:tab/>
        <w:t xml:space="preserve">Teixeira PJ, Marques MM. Health Behavior Change for Obesity Management. </w:t>
      </w:r>
      <w:r w:rsidRPr="00821369">
        <w:rPr>
          <w:rFonts w:ascii="Calibri" w:hAnsi="Calibri" w:cs="Calibri"/>
          <w:i/>
          <w:iCs/>
          <w:noProof/>
          <w:szCs w:val="24"/>
        </w:rPr>
        <w:t>Obes Facts</w:t>
      </w:r>
      <w:r w:rsidRPr="00821369">
        <w:rPr>
          <w:rFonts w:ascii="Calibri" w:hAnsi="Calibri" w:cs="Calibri"/>
          <w:noProof/>
          <w:szCs w:val="24"/>
        </w:rPr>
        <w:t>. 2018;10(6):666-673. doi:10.1159/000484933</w:t>
      </w:r>
    </w:p>
    <w:p w14:paraId="2AF8F5B2" w14:textId="77777777" w:rsidR="00A51E53" w:rsidRPr="00821369" w:rsidRDefault="00A51E53" w:rsidP="00B462AD">
      <w:pPr>
        <w:widowControl w:val="0"/>
        <w:autoSpaceDE w:val="0"/>
        <w:autoSpaceDN w:val="0"/>
        <w:adjustRightInd w:val="0"/>
        <w:spacing w:after="0" w:line="276" w:lineRule="auto"/>
        <w:ind w:left="641" w:hanging="641"/>
        <w:rPr>
          <w:rFonts w:ascii="Calibri" w:hAnsi="Calibri" w:cs="Calibri"/>
          <w:noProof/>
          <w:szCs w:val="24"/>
        </w:rPr>
      </w:pPr>
      <w:r w:rsidRPr="00821369">
        <w:rPr>
          <w:rFonts w:ascii="Calibri" w:hAnsi="Calibri" w:cs="Calibri"/>
          <w:noProof/>
          <w:szCs w:val="24"/>
        </w:rPr>
        <w:t xml:space="preserve">42. </w:t>
      </w:r>
      <w:r w:rsidRPr="00821369">
        <w:rPr>
          <w:rFonts w:ascii="Calibri" w:hAnsi="Calibri" w:cs="Calibri"/>
          <w:noProof/>
          <w:szCs w:val="24"/>
        </w:rPr>
        <w:tab/>
        <w:t>British Nutrition Foundation. https://www.nutrition.org.uk/putting-it-into-practice/plant-based-diets/plant-based-diets/. Accessed November 1, 2022.</w:t>
      </w:r>
    </w:p>
    <w:p w14:paraId="2BF68628" w14:textId="77777777" w:rsidR="00A51E53" w:rsidRPr="00821369" w:rsidRDefault="00A51E53" w:rsidP="00B462AD">
      <w:pPr>
        <w:widowControl w:val="0"/>
        <w:autoSpaceDE w:val="0"/>
        <w:autoSpaceDN w:val="0"/>
        <w:adjustRightInd w:val="0"/>
        <w:spacing w:after="0" w:line="276" w:lineRule="auto"/>
        <w:ind w:left="641" w:hanging="641"/>
        <w:rPr>
          <w:rFonts w:ascii="Calibri" w:hAnsi="Calibri" w:cs="Calibri"/>
          <w:noProof/>
          <w:szCs w:val="24"/>
        </w:rPr>
      </w:pPr>
      <w:r w:rsidRPr="00821369">
        <w:rPr>
          <w:rFonts w:ascii="Calibri" w:hAnsi="Calibri" w:cs="Calibri"/>
          <w:noProof/>
          <w:szCs w:val="24"/>
        </w:rPr>
        <w:t xml:space="preserve">43. </w:t>
      </w:r>
      <w:r w:rsidRPr="00821369">
        <w:rPr>
          <w:rFonts w:ascii="Calibri" w:hAnsi="Calibri" w:cs="Calibri"/>
          <w:noProof/>
          <w:szCs w:val="24"/>
        </w:rPr>
        <w:tab/>
        <w:t xml:space="preserve">Gomes-Neto AW, Osté MCJ, Sotomayor CG, et al. Mediterranean style diet and kidney function loss in kidney transplant recipients. </w:t>
      </w:r>
      <w:r w:rsidRPr="00821369">
        <w:rPr>
          <w:rFonts w:ascii="Calibri" w:hAnsi="Calibri" w:cs="Calibri"/>
          <w:i/>
          <w:iCs/>
          <w:noProof/>
          <w:szCs w:val="24"/>
        </w:rPr>
        <w:t>Clin J Am Soc Nephrol</w:t>
      </w:r>
      <w:r w:rsidRPr="00821369">
        <w:rPr>
          <w:rFonts w:ascii="Calibri" w:hAnsi="Calibri" w:cs="Calibri"/>
          <w:noProof/>
          <w:szCs w:val="24"/>
        </w:rPr>
        <w:t>. 2020;15(2):238-246. doi:10.2215/CJN.06710619</w:t>
      </w:r>
    </w:p>
    <w:p w14:paraId="2B8573DD" w14:textId="77777777" w:rsidR="00A51E53" w:rsidRPr="00821369" w:rsidRDefault="00A51E53" w:rsidP="00B462AD">
      <w:pPr>
        <w:widowControl w:val="0"/>
        <w:autoSpaceDE w:val="0"/>
        <w:autoSpaceDN w:val="0"/>
        <w:adjustRightInd w:val="0"/>
        <w:spacing w:after="0" w:line="276" w:lineRule="auto"/>
        <w:ind w:left="641" w:hanging="641"/>
        <w:rPr>
          <w:rFonts w:ascii="Calibri" w:hAnsi="Calibri" w:cs="Calibri"/>
          <w:noProof/>
          <w:szCs w:val="24"/>
        </w:rPr>
      </w:pPr>
      <w:r w:rsidRPr="00821369">
        <w:rPr>
          <w:rFonts w:ascii="Calibri" w:hAnsi="Calibri" w:cs="Calibri"/>
          <w:noProof/>
          <w:szCs w:val="24"/>
        </w:rPr>
        <w:t xml:space="preserve">44. </w:t>
      </w:r>
      <w:r w:rsidRPr="00821369">
        <w:rPr>
          <w:rFonts w:ascii="Calibri" w:hAnsi="Calibri" w:cs="Calibri"/>
          <w:noProof/>
          <w:szCs w:val="24"/>
        </w:rPr>
        <w:tab/>
        <w:t xml:space="preserve">Osté MCJ, Corpeleijn E, Navis GJ, et al. Mediterranean style diet is associated with low risk of new-onset diabetes after renal transplantation. </w:t>
      </w:r>
      <w:r w:rsidRPr="00821369">
        <w:rPr>
          <w:rFonts w:ascii="Calibri" w:hAnsi="Calibri" w:cs="Calibri"/>
          <w:i/>
          <w:iCs/>
          <w:noProof/>
          <w:szCs w:val="24"/>
        </w:rPr>
        <w:t>BMJ Open Diabetes Res Care</w:t>
      </w:r>
      <w:r w:rsidRPr="00821369">
        <w:rPr>
          <w:rFonts w:ascii="Calibri" w:hAnsi="Calibri" w:cs="Calibri"/>
          <w:noProof/>
          <w:szCs w:val="24"/>
        </w:rPr>
        <w:t>. 2017;5(1):1-8. doi:10.1136/bmjdrc-2016-000283</w:t>
      </w:r>
    </w:p>
    <w:p w14:paraId="39BABC21" w14:textId="77777777" w:rsidR="00A51E53" w:rsidRPr="00821369" w:rsidRDefault="00A51E53" w:rsidP="00217066">
      <w:pPr>
        <w:widowControl w:val="0"/>
        <w:autoSpaceDE w:val="0"/>
        <w:autoSpaceDN w:val="0"/>
        <w:adjustRightInd w:val="0"/>
        <w:spacing w:line="276" w:lineRule="auto"/>
        <w:ind w:left="641" w:hanging="641"/>
        <w:rPr>
          <w:rFonts w:ascii="Calibri" w:hAnsi="Calibri" w:cs="Calibri"/>
          <w:noProof/>
        </w:rPr>
      </w:pPr>
      <w:r w:rsidRPr="00821369">
        <w:rPr>
          <w:rFonts w:ascii="Calibri" w:hAnsi="Calibri" w:cs="Calibri"/>
          <w:noProof/>
          <w:szCs w:val="24"/>
        </w:rPr>
        <w:t xml:space="preserve">45. </w:t>
      </w:r>
      <w:r w:rsidRPr="00821369">
        <w:rPr>
          <w:rFonts w:ascii="Calibri" w:hAnsi="Calibri" w:cs="Calibri"/>
          <w:noProof/>
          <w:szCs w:val="24"/>
        </w:rPr>
        <w:tab/>
        <w:t xml:space="preserve">Gomes-Neto AW, Osté MCJ, Sotomayor CG, et al. Fruit and vegetable intake and risk of post trans plantation diabetes in renal transplant recipients. </w:t>
      </w:r>
      <w:r w:rsidRPr="00821369">
        <w:rPr>
          <w:rFonts w:ascii="Calibri" w:hAnsi="Calibri" w:cs="Calibri"/>
          <w:i/>
          <w:iCs/>
          <w:noProof/>
          <w:szCs w:val="24"/>
        </w:rPr>
        <w:t>Diabetes Care</w:t>
      </w:r>
      <w:r w:rsidRPr="00821369">
        <w:rPr>
          <w:rFonts w:ascii="Calibri" w:hAnsi="Calibri" w:cs="Calibri"/>
          <w:noProof/>
          <w:szCs w:val="24"/>
        </w:rPr>
        <w:t>. 2019;42(9):1645-1652. doi:10.2337/dc19-0224</w:t>
      </w:r>
    </w:p>
    <w:p w14:paraId="7ED4CA65" w14:textId="62FA2AF7" w:rsidR="00F36C42" w:rsidRDefault="00A51E53" w:rsidP="00D77243">
      <w:pPr>
        <w:pStyle w:val="Heading1"/>
      </w:pPr>
      <w:r>
        <w:rPr>
          <w:rFonts w:cstheme="minorHAnsi"/>
        </w:rPr>
        <w:fldChar w:fldCharType="end"/>
      </w:r>
      <w:bookmarkStart w:id="99" w:name="_Toc128330005"/>
      <w:r w:rsidR="00F36C42" w:rsidRPr="002300B9">
        <w:t>7 CARDIOVASCULAR AND METABOLIC RISK MANAGEMENT</w:t>
      </w:r>
      <w:bookmarkEnd w:id="99"/>
    </w:p>
    <w:p w14:paraId="44659168" w14:textId="77777777" w:rsidR="00F36C42" w:rsidRPr="0016371F" w:rsidRDefault="00F36C42" w:rsidP="00F36C42">
      <w:pPr>
        <w:pStyle w:val="Heading2"/>
        <w:spacing w:before="0" w:after="160" w:line="276" w:lineRule="auto"/>
        <w:rPr>
          <w:rFonts w:asciiTheme="minorHAnsi" w:eastAsia="Arial" w:hAnsiTheme="minorHAnsi" w:cstheme="minorHAnsi"/>
        </w:rPr>
      </w:pPr>
      <w:bookmarkStart w:id="100" w:name="_Toc128330006"/>
      <w:r w:rsidRPr="0016371F">
        <w:rPr>
          <w:rFonts w:asciiTheme="minorHAnsi" w:eastAsia="Arial" w:hAnsiTheme="minorHAnsi" w:cstheme="minorHAnsi"/>
        </w:rPr>
        <w:t>Statements of Recommendation</w:t>
      </w:r>
      <w:bookmarkEnd w:id="100"/>
    </w:p>
    <w:p w14:paraId="0788216B" w14:textId="77777777" w:rsidR="00F36C42" w:rsidRPr="0016371F" w:rsidRDefault="00F36C42" w:rsidP="00BC44BA">
      <w:r w:rsidRPr="0016371F">
        <w:t>We recommend that</w:t>
      </w:r>
      <w:r>
        <w:t>:</w:t>
      </w:r>
    </w:p>
    <w:p w14:paraId="0C76C929" w14:textId="77777777" w:rsidR="00F36C42" w:rsidRPr="00E87B7C" w:rsidRDefault="00F36C42" w:rsidP="00346D2E">
      <w:pPr>
        <w:pStyle w:val="ListParagraph"/>
        <w:numPr>
          <w:ilvl w:val="0"/>
          <w:numId w:val="20"/>
        </w:numPr>
      </w:pPr>
      <w:r>
        <w:t>Aim for</w:t>
      </w:r>
      <w:r w:rsidRPr="00DF7C85">
        <w:t xml:space="preserve"> blood pressure target of &lt;130/80 for kidney transplant recipients with individualized </w:t>
      </w:r>
      <w:r>
        <w:t>decision-making</w:t>
      </w:r>
      <w:r w:rsidRPr="00DF7C85">
        <w:t xml:space="preserve"> as clinically appropriate.</w:t>
      </w:r>
      <w:r>
        <w:t xml:space="preserve"> (1B)</w:t>
      </w:r>
    </w:p>
    <w:p w14:paraId="440FE1B7" w14:textId="77777777" w:rsidR="00F36C42" w:rsidRDefault="00F36C42" w:rsidP="00BC44BA">
      <w:r>
        <w:t>W</w:t>
      </w:r>
      <w:r w:rsidRPr="0016371F">
        <w:t>e suggest that</w:t>
      </w:r>
      <w:r>
        <w:t>:</w:t>
      </w:r>
    </w:p>
    <w:p w14:paraId="30530FAF" w14:textId="77777777" w:rsidR="00F36C42" w:rsidRPr="00E87B7C" w:rsidRDefault="00F36C42" w:rsidP="00346D2E">
      <w:pPr>
        <w:pStyle w:val="ListParagraph"/>
        <w:numPr>
          <w:ilvl w:val="0"/>
          <w:numId w:val="20"/>
        </w:numPr>
        <w:rPr>
          <w:b/>
          <w:u w:val="single"/>
        </w:rPr>
      </w:pPr>
      <w:r w:rsidRPr="00E87B7C">
        <w:t xml:space="preserve">CCB or ACEi/ARB should be considered </w:t>
      </w:r>
      <w:r>
        <w:t>first-line</w:t>
      </w:r>
      <w:r w:rsidRPr="00E87B7C">
        <w:t xml:space="preserve"> treatment options </w:t>
      </w:r>
      <w:r>
        <w:t xml:space="preserve">for hypertension post kidney transplantation </w:t>
      </w:r>
      <w:r w:rsidRPr="00E87B7C">
        <w:t>depending on the needs of the individual patient</w:t>
      </w:r>
      <w:r>
        <w:t>. (1A)</w:t>
      </w:r>
    </w:p>
    <w:p w14:paraId="7D8D7D1E" w14:textId="77777777" w:rsidR="00F36C42" w:rsidRPr="00DF7C85" w:rsidRDefault="00F36C42" w:rsidP="00346D2E">
      <w:pPr>
        <w:pStyle w:val="ListParagraph"/>
        <w:numPr>
          <w:ilvl w:val="0"/>
          <w:numId w:val="20"/>
        </w:numPr>
        <w:rPr>
          <w:b/>
          <w:u w:val="single"/>
        </w:rPr>
      </w:pPr>
      <w:r>
        <w:t>B</w:t>
      </w:r>
      <w:r w:rsidRPr="00DF7C85">
        <w:t xml:space="preserve">lood pressure treatment should </w:t>
      </w:r>
      <w:r>
        <w:t xml:space="preserve">be </w:t>
      </w:r>
      <w:r w:rsidRPr="00DF7C85">
        <w:t>tailored to the individual patient</w:t>
      </w:r>
      <w:r>
        <w:t xml:space="preserve">. </w:t>
      </w:r>
      <w:r w:rsidRPr="00382936">
        <w:t>(ungraded)</w:t>
      </w:r>
    </w:p>
    <w:p w14:paraId="3805F238" w14:textId="371D8450" w:rsidR="00F36C42" w:rsidRPr="0016371F" w:rsidRDefault="00F36C42" w:rsidP="00BC44BA">
      <w:r w:rsidRPr="0016371F">
        <w:t xml:space="preserve">Recommendations for </w:t>
      </w:r>
      <w:r>
        <w:t>f</w:t>
      </w:r>
      <w:r w:rsidRPr="0016371F">
        <w:t xml:space="preserve">uture </w:t>
      </w:r>
      <w:r>
        <w:t>r</w:t>
      </w:r>
      <w:r w:rsidRPr="0016371F">
        <w:t>esearch</w:t>
      </w:r>
      <w:r w:rsidR="00BC44BA">
        <w:t>:</w:t>
      </w:r>
    </w:p>
    <w:p w14:paraId="572A0DCF" w14:textId="77777777" w:rsidR="00F36C42" w:rsidRDefault="00F36C42" w:rsidP="00346D2E">
      <w:pPr>
        <w:pStyle w:val="ListParagraph"/>
        <w:numPr>
          <w:ilvl w:val="0"/>
          <w:numId w:val="20"/>
        </w:numPr>
      </w:pPr>
      <w:r w:rsidRPr="00DF7C85">
        <w:t xml:space="preserve">Investigate the effects of different antihypertensive agents on graft survival and cardiovascular </w:t>
      </w:r>
      <w:r>
        <w:t>outcome</w:t>
      </w:r>
      <w:r w:rsidRPr="00DF7C85">
        <w:t xml:space="preserve"> in kidney transplant recipients with a failing allograft. </w:t>
      </w:r>
    </w:p>
    <w:p w14:paraId="03609246" w14:textId="439DBA56" w:rsidR="00F36C42" w:rsidRDefault="00F36C42" w:rsidP="00BC44BA">
      <w:r w:rsidRPr="0016371F">
        <w:t xml:space="preserve">Recommendations for </w:t>
      </w:r>
      <w:r>
        <w:t>audit</w:t>
      </w:r>
      <w:r w:rsidR="00BC44BA">
        <w:t>:</w:t>
      </w:r>
    </w:p>
    <w:p w14:paraId="2AD83344" w14:textId="77777777" w:rsidR="00F36C42" w:rsidRPr="00C936F3" w:rsidRDefault="00F36C42" w:rsidP="00346D2E">
      <w:pPr>
        <w:pStyle w:val="ListParagraph"/>
        <w:numPr>
          <w:ilvl w:val="0"/>
          <w:numId w:val="20"/>
        </w:numPr>
      </w:pPr>
      <w:r>
        <w:lastRenderedPageBreak/>
        <w:t>Determination of the number of patients who have blood pressure control as suggested by the guideline.</w:t>
      </w:r>
    </w:p>
    <w:p w14:paraId="43337525" w14:textId="107A4BF7" w:rsidR="00F36C42" w:rsidRPr="008D4BDF" w:rsidRDefault="00F36C42" w:rsidP="00346D2E">
      <w:pPr>
        <w:pStyle w:val="ListParagraph"/>
        <w:numPr>
          <w:ilvl w:val="0"/>
          <w:numId w:val="20"/>
        </w:numPr>
      </w:pPr>
      <w:r>
        <w:t xml:space="preserve">Identification of barriers to achieving these targets, for example, potential contributory factors to non-adherence (side effects, lack of understanding of benefits, pill burden).  </w:t>
      </w:r>
    </w:p>
    <w:p w14:paraId="3EC0EE1D" w14:textId="77777777" w:rsidR="008D4BDF" w:rsidRPr="00382936" w:rsidRDefault="008D4BDF" w:rsidP="00346D2E">
      <w:pPr>
        <w:pStyle w:val="ListParagraph"/>
      </w:pPr>
    </w:p>
    <w:p w14:paraId="373BAD73" w14:textId="2A5B064A" w:rsidR="00F36C42" w:rsidRPr="0016371F" w:rsidRDefault="00F36C42" w:rsidP="00F36C42">
      <w:pPr>
        <w:pStyle w:val="Heading2"/>
        <w:spacing w:before="0" w:after="160" w:line="276" w:lineRule="auto"/>
        <w:rPr>
          <w:rFonts w:asciiTheme="minorHAnsi" w:hAnsiTheme="minorHAnsi" w:cstheme="minorHAnsi"/>
        </w:rPr>
      </w:pPr>
      <w:bookmarkStart w:id="101" w:name="_Toc128330007"/>
      <w:r w:rsidRPr="0016371F">
        <w:rPr>
          <w:rFonts w:asciiTheme="minorHAnsi" w:hAnsiTheme="minorHAnsi" w:cstheme="minorHAnsi"/>
        </w:rPr>
        <w:t>Rationale</w:t>
      </w:r>
      <w:bookmarkEnd w:id="101"/>
    </w:p>
    <w:p w14:paraId="0779EE78" w14:textId="77777777" w:rsidR="00F36C42" w:rsidRPr="0016371F" w:rsidRDefault="00F36C42" w:rsidP="00F36C42">
      <w:pPr>
        <w:pStyle w:val="Heading3"/>
        <w:spacing w:before="0" w:after="160" w:line="276" w:lineRule="auto"/>
        <w:rPr>
          <w:rFonts w:asciiTheme="minorHAnsi" w:hAnsiTheme="minorHAnsi" w:cstheme="minorHAnsi"/>
        </w:rPr>
      </w:pPr>
      <w:bookmarkStart w:id="102" w:name="_Toc128330008"/>
      <w:r>
        <w:rPr>
          <w:rFonts w:asciiTheme="minorHAnsi" w:hAnsiTheme="minorHAnsi" w:cstheme="minorHAnsi"/>
        </w:rPr>
        <w:t>7</w:t>
      </w:r>
      <w:r w:rsidRPr="0016371F">
        <w:rPr>
          <w:rFonts w:asciiTheme="minorHAnsi" w:hAnsiTheme="minorHAnsi" w:cstheme="minorHAnsi"/>
        </w:rPr>
        <w:t>.1 Introduction</w:t>
      </w:r>
      <w:bookmarkEnd w:id="102"/>
    </w:p>
    <w:p w14:paraId="6BBE3554" w14:textId="77777777" w:rsidR="00F36C42" w:rsidRPr="00DF7C85" w:rsidRDefault="00F36C42" w:rsidP="008D4BDF">
      <w:pPr>
        <w:spacing w:line="276" w:lineRule="auto"/>
        <w:jc w:val="both"/>
        <w:rPr>
          <w:rFonts w:cstheme="minorHAnsi"/>
        </w:rPr>
      </w:pPr>
      <w:r w:rsidRPr="00DF7C85">
        <w:rPr>
          <w:rFonts w:cstheme="minorHAnsi"/>
        </w:rPr>
        <w:t xml:space="preserve">There is </w:t>
      </w:r>
      <w:r>
        <w:rPr>
          <w:rFonts w:cstheme="minorHAnsi"/>
        </w:rPr>
        <w:t xml:space="preserve">a </w:t>
      </w:r>
      <w:r w:rsidRPr="00DF7C85">
        <w:rPr>
          <w:rFonts w:cstheme="minorHAnsi"/>
        </w:rPr>
        <w:t xml:space="preserve">strong correlation between blood pressure control and graft outcome after kidney transplantation </w:t>
      </w:r>
      <w:r w:rsidRPr="00DF7C85">
        <w:rPr>
          <w:rFonts w:cstheme="minorHAnsi"/>
          <w:vertAlign w:val="superscript"/>
        </w:rPr>
        <w:t>1-4</w:t>
      </w:r>
      <w:r w:rsidRPr="00DF7C85">
        <w:rPr>
          <w:rFonts w:cstheme="minorHAnsi"/>
        </w:rPr>
        <w:t xml:space="preserve"> with some </w:t>
      </w:r>
      <w:r>
        <w:rPr>
          <w:rFonts w:cstheme="minorHAnsi"/>
        </w:rPr>
        <w:t xml:space="preserve">(but not consistent) </w:t>
      </w:r>
      <w:r w:rsidRPr="00DF7C85">
        <w:rPr>
          <w:rFonts w:cstheme="minorHAnsi"/>
        </w:rPr>
        <w:t xml:space="preserve">evidence that </w:t>
      </w:r>
      <w:r>
        <w:rPr>
          <w:rFonts w:cstheme="minorHAnsi"/>
        </w:rPr>
        <w:t>intervention to control</w:t>
      </w:r>
      <w:r w:rsidRPr="00DF7C85">
        <w:rPr>
          <w:rFonts w:cstheme="minorHAnsi"/>
        </w:rPr>
        <w:t xml:space="preserve"> blood pressure may improve outcomes </w:t>
      </w:r>
      <w:r w:rsidRPr="00DF7C85">
        <w:rPr>
          <w:rFonts w:cstheme="minorHAnsi"/>
          <w:vertAlign w:val="superscript"/>
        </w:rPr>
        <w:t>3-</w:t>
      </w:r>
      <w:r>
        <w:rPr>
          <w:rFonts w:cstheme="minorHAnsi"/>
          <w:vertAlign w:val="superscript"/>
        </w:rPr>
        <w:t>6</w:t>
      </w:r>
      <w:r w:rsidRPr="00DF7C85">
        <w:rPr>
          <w:rFonts w:cstheme="minorHAnsi"/>
        </w:rPr>
        <w:t xml:space="preserve">. However, there are no prospective randomized controlled trials demonstrating </w:t>
      </w:r>
      <w:r>
        <w:rPr>
          <w:rFonts w:cstheme="minorHAnsi"/>
        </w:rPr>
        <w:t xml:space="preserve">the </w:t>
      </w:r>
      <w:r w:rsidRPr="00DF7C85">
        <w:rPr>
          <w:rFonts w:cstheme="minorHAnsi"/>
        </w:rPr>
        <w:t xml:space="preserve">proven benefit of intervention or </w:t>
      </w:r>
      <w:r>
        <w:rPr>
          <w:rFonts w:cstheme="minorHAnsi"/>
        </w:rPr>
        <w:t>guiding</w:t>
      </w:r>
      <w:r w:rsidRPr="00DF7C85">
        <w:rPr>
          <w:rFonts w:cstheme="minorHAnsi"/>
        </w:rPr>
        <w:t xml:space="preserve"> target blood pressures.</w:t>
      </w:r>
    </w:p>
    <w:p w14:paraId="7B10B925" w14:textId="77777777" w:rsidR="00F36C42" w:rsidRPr="00DF7C85" w:rsidRDefault="00F36C42" w:rsidP="00F36C42">
      <w:pPr>
        <w:pStyle w:val="Heading3"/>
        <w:spacing w:before="0" w:after="160"/>
      </w:pPr>
      <w:bookmarkStart w:id="103" w:name="_Toc128330009"/>
      <w:r>
        <w:t xml:space="preserve">7.2 </w:t>
      </w:r>
      <w:r w:rsidRPr="00DF7C85">
        <w:t>Diagnosis of Hypertension Post-Transplantation</w:t>
      </w:r>
      <w:bookmarkEnd w:id="103"/>
    </w:p>
    <w:p w14:paraId="4B9BB45B" w14:textId="6CFF8A0D" w:rsidR="00F36C42" w:rsidRPr="00DF7C85" w:rsidRDefault="00F36C42" w:rsidP="008D4BDF">
      <w:pPr>
        <w:spacing w:line="276" w:lineRule="auto"/>
        <w:jc w:val="both"/>
        <w:rPr>
          <w:rFonts w:cstheme="minorHAnsi"/>
        </w:rPr>
      </w:pPr>
      <w:r w:rsidRPr="00DF7C85">
        <w:rPr>
          <w:rFonts w:cstheme="minorHAnsi"/>
        </w:rPr>
        <w:t xml:space="preserve">Hypertension in the renal transplant recipient is driven by both traditional and non-traditional risk factors. Vetromile et al </w:t>
      </w:r>
      <w:r w:rsidRPr="00DF7C85">
        <w:rPr>
          <w:rFonts w:cstheme="minorHAnsi"/>
          <w:vertAlign w:val="superscript"/>
        </w:rPr>
        <w:t>7</w:t>
      </w:r>
      <w:r w:rsidRPr="00DF7C85">
        <w:rPr>
          <w:rFonts w:cstheme="minorHAnsi"/>
        </w:rPr>
        <w:t xml:space="preserve"> concluded that on multivariate analysis of 811 recipients, recipient age (p &lt; 0.001), measured GFR (p = 0.037), albuminuria (p &lt; 0.001), and metabolic syndrome (p = 0.007) were significantly associated with resistant hypertension. Weight gain is common post-transplantation which will exacerbate many of the elements of the metabolic syndrome </w:t>
      </w:r>
      <w:r w:rsidRPr="00DF7C85">
        <w:rPr>
          <w:rFonts w:cstheme="minorHAnsi"/>
          <w:vertAlign w:val="superscript"/>
        </w:rPr>
        <w:t>8</w:t>
      </w:r>
      <w:r w:rsidRPr="00DF7C85">
        <w:rPr>
          <w:rFonts w:cstheme="minorHAnsi"/>
        </w:rPr>
        <w:t xml:space="preserve">. Aggressively controlling conventional cardiovascular risk factors in the treatment of hypertension through lifestyle changes are universally </w:t>
      </w:r>
      <w:r w:rsidR="00BC44BA" w:rsidRPr="00DF7C85">
        <w:rPr>
          <w:rFonts w:cstheme="minorHAnsi"/>
        </w:rPr>
        <w:t>recommended</w:t>
      </w:r>
      <w:r w:rsidR="00BC44BA">
        <w:rPr>
          <w:rFonts w:cstheme="minorHAnsi"/>
        </w:rPr>
        <w:t xml:space="preserve"> and</w:t>
      </w:r>
      <w:r>
        <w:rPr>
          <w:rFonts w:cstheme="minorHAnsi"/>
        </w:rPr>
        <w:t xml:space="preserve"> are considered in detail in section 6</w:t>
      </w:r>
      <w:r w:rsidRPr="00DF7C85">
        <w:rPr>
          <w:rFonts w:cstheme="minorHAnsi"/>
        </w:rPr>
        <w:t>.</w:t>
      </w:r>
    </w:p>
    <w:p w14:paraId="2F62E0E6" w14:textId="77777777" w:rsidR="00F36C42" w:rsidRPr="00DF7C85" w:rsidRDefault="00F36C42" w:rsidP="008D4BDF">
      <w:pPr>
        <w:spacing w:line="276" w:lineRule="auto"/>
        <w:jc w:val="both"/>
        <w:rPr>
          <w:rFonts w:cstheme="minorHAnsi"/>
        </w:rPr>
      </w:pPr>
      <w:r w:rsidRPr="00DF7C85">
        <w:rPr>
          <w:rFonts w:cstheme="minorHAnsi"/>
        </w:rPr>
        <w:t xml:space="preserve">If a renal transplant recipient with previously </w:t>
      </w:r>
      <w:r>
        <w:rPr>
          <w:rFonts w:cstheme="minorHAnsi"/>
        </w:rPr>
        <w:t>well-controlled</w:t>
      </w:r>
      <w:r w:rsidRPr="00DF7C85">
        <w:rPr>
          <w:rFonts w:cstheme="minorHAnsi"/>
        </w:rPr>
        <w:t xml:space="preserve"> blood pressure develops new or worsening hypertension, consideration should be given to undertaking a secondary screen to look for physiological changes which may have triggered this. Sleep-disordered breathing has been noted to be a causative factor </w:t>
      </w:r>
      <w:r w:rsidRPr="00DF7C85">
        <w:rPr>
          <w:rFonts w:cstheme="minorHAnsi"/>
          <w:vertAlign w:val="superscript"/>
        </w:rPr>
        <w:t>9</w:t>
      </w:r>
      <w:r w:rsidRPr="00DF7C85">
        <w:rPr>
          <w:rFonts w:cstheme="minorHAnsi"/>
        </w:rPr>
        <w:t xml:space="preserve">, especially in overweight patients. Tacrolimus has </w:t>
      </w:r>
      <w:r>
        <w:rPr>
          <w:rFonts w:cstheme="minorHAnsi"/>
        </w:rPr>
        <w:t xml:space="preserve">less impact on </w:t>
      </w:r>
      <w:r w:rsidRPr="00DF7C85">
        <w:rPr>
          <w:rFonts w:cstheme="minorHAnsi"/>
        </w:rPr>
        <w:t xml:space="preserve">blood pressure than cyclosporine </w:t>
      </w:r>
      <w:r w:rsidRPr="00DF7C85">
        <w:rPr>
          <w:rFonts w:cstheme="minorHAnsi"/>
          <w:vertAlign w:val="superscript"/>
        </w:rPr>
        <w:t>10-13</w:t>
      </w:r>
      <w:r w:rsidRPr="00DF7C85">
        <w:rPr>
          <w:rFonts w:cstheme="minorHAnsi"/>
        </w:rPr>
        <w:t xml:space="preserve"> and was established as </w:t>
      </w:r>
      <w:r>
        <w:rPr>
          <w:rFonts w:cstheme="minorHAnsi"/>
        </w:rPr>
        <w:t xml:space="preserve">the </w:t>
      </w:r>
      <w:r w:rsidRPr="00DF7C85">
        <w:rPr>
          <w:rFonts w:cstheme="minorHAnsi"/>
        </w:rPr>
        <w:t xml:space="preserve">standard </w:t>
      </w:r>
      <w:r>
        <w:rPr>
          <w:rFonts w:cstheme="minorHAnsi"/>
        </w:rPr>
        <w:t>first-line</w:t>
      </w:r>
      <w:r w:rsidRPr="00DF7C85">
        <w:rPr>
          <w:rFonts w:cstheme="minorHAnsi"/>
        </w:rPr>
        <w:t xml:space="preserve"> treatment in the SYMPHONY trial </w:t>
      </w:r>
      <w:r w:rsidRPr="00DF7C85">
        <w:rPr>
          <w:rFonts w:cstheme="minorHAnsi"/>
          <w:vertAlign w:val="superscript"/>
        </w:rPr>
        <w:t>14,15</w:t>
      </w:r>
      <w:r w:rsidRPr="00DF7C85">
        <w:rPr>
          <w:rFonts w:cstheme="minorHAnsi"/>
        </w:rPr>
        <w:t xml:space="preserve">. Changing from a CNI to an mTOR inhibitor purely on the basis of cardiovascular risk is not recommended based on the higher risk of acute rejection </w:t>
      </w:r>
      <w:r w:rsidRPr="00DF7C85">
        <w:rPr>
          <w:rFonts w:cstheme="minorHAnsi"/>
          <w:vertAlign w:val="superscript"/>
        </w:rPr>
        <w:t>14, 15</w:t>
      </w:r>
      <w:r w:rsidRPr="00DF7C85">
        <w:rPr>
          <w:rFonts w:cstheme="minorHAnsi"/>
        </w:rPr>
        <w:t xml:space="preserve">. </w:t>
      </w:r>
      <w:r>
        <w:rPr>
          <w:rFonts w:cstheme="minorHAnsi"/>
        </w:rPr>
        <w:t>Long-term</w:t>
      </w:r>
      <w:r w:rsidRPr="00DF7C85">
        <w:rPr>
          <w:rFonts w:cstheme="minorHAnsi"/>
        </w:rPr>
        <w:t xml:space="preserve"> steroid treatment is associated with </w:t>
      </w:r>
      <w:r>
        <w:rPr>
          <w:rFonts w:cstheme="minorHAnsi"/>
        </w:rPr>
        <w:t xml:space="preserve">the </w:t>
      </w:r>
      <w:r w:rsidRPr="00DF7C85">
        <w:rPr>
          <w:rFonts w:cstheme="minorHAnsi"/>
        </w:rPr>
        <w:t xml:space="preserve">development of hypertension in the general population </w:t>
      </w:r>
      <w:r w:rsidRPr="00FB4C77">
        <w:rPr>
          <w:rFonts w:cstheme="minorHAnsi"/>
          <w:vertAlign w:val="superscript"/>
        </w:rPr>
        <w:t xml:space="preserve">16 </w:t>
      </w:r>
      <w:r w:rsidRPr="00DF7C85">
        <w:rPr>
          <w:rFonts w:cstheme="minorHAnsi"/>
        </w:rPr>
        <w:t xml:space="preserve">but at the levels generally used for maintenance in transplant recipients, seems to be less clearly linked </w:t>
      </w:r>
      <w:r w:rsidRPr="00DF7C85">
        <w:rPr>
          <w:rFonts w:cstheme="minorHAnsi"/>
          <w:vertAlign w:val="superscript"/>
        </w:rPr>
        <w:t>17-19</w:t>
      </w:r>
      <w:r w:rsidRPr="00DF7C85">
        <w:rPr>
          <w:rFonts w:cstheme="minorHAnsi"/>
        </w:rPr>
        <w:t xml:space="preserve">. Trials of withdrawal of steroids have shown no benefit on blood pressure control </w:t>
      </w:r>
      <w:r w:rsidRPr="00FB4C77">
        <w:rPr>
          <w:rFonts w:cstheme="minorHAnsi"/>
          <w:vertAlign w:val="superscript"/>
        </w:rPr>
        <w:t>20</w:t>
      </w:r>
      <w:r w:rsidRPr="00DF7C85">
        <w:rPr>
          <w:rFonts w:cstheme="minorHAnsi"/>
        </w:rPr>
        <w:t xml:space="preserve">. Transplant renal artery stenosis can occur at any stage post-transplant, early onset is most likely to be related to technical complications from surgery whereas later onset is due to </w:t>
      </w:r>
      <w:r>
        <w:rPr>
          <w:rFonts w:cstheme="minorHAnsi"/>
        </w:rPr>
        <w:t xml:space="preserve">the </w:t>
      </w:r>
      <w:r w:rsidRPr="00DF7C85">
        <w:rPr>
          <w:rFonts w:cstheme="minorHAnsi"/>
        </w:rPr>
        <w:t xml:space="preserve">progression of underlying atheroma </w:t>
      </w:r>
      <w:r w:rsidRPr="00DF7C85">
        <w:rPr>
          <w:rFonts w:cstheme="minorHAnsi"/>
          <w:vertAlign w:val="superscript"/>
        </w:rPr>
        <w:t>21</w:t>
      </w:r>
      <w:r w:rsidRPr="00DF7C85">
        <w:rPr>
          <w:rFonts w:cstheme="minorHAnsi"/>
        </w:rPr>
        <w:t xml:space="preserve">. No advantage has been shown of stenting over angioplasty alone in terms of outcome, but stenting may reduce the incidence of re-stenosis </w:t>
      </w:r>
      <w:r w:rsidRPr="00DF7C85">
        <w:rPr>
          <w:rFonts w:cstheme="minorHAnsi"/>
          <w:vertAlign w:val="superscript"/>
        </w:rPr>
        <w:t>22</w:t>
      </w:r>
      <w:r w:rsidRPr="00DF7C85">
        <w:rPr>
          <w:rFonts w:cstheme="minorHAnsi"/>
        </w:rPr>
        <w:t xml:space="preserve">. Denervation of the native kidneys has been undertaken but in only very small series </w:t>
      </w:r>
      <w:r w:rsidRPr="00DF7C85">
        <w:rPr>
          <w:rFonts w:cstheme="minorHAnsi"/>
          <w:vertAlign w:val="superscript"/>
        </w:rPr>
        <w:t>23, 24</w:t>
      </w:r>
      <w:r w:rsidRPr="00DF7C85">
        <w:rPr>
          <w:rFonts w:cstheme="minorHAnsi"/>
        </w:rPr>
        <w:t xml:space="preserve"> providing limited evidence of safety or efficacy.</w:t>
      </w:r>
    </w:p>
    <w:p w14:paraId="7F5AA939" w14:textId="77777777" w:rsidR="00F36C42" w:rsidRPr="00DF7C85" w:rsidRDefault="00F36C42" w:rsidP="00F36C42">
      <w:pPr>
        <w:pStyle w:val="Heading3"/>
      </w:pPr>
      <w:bookmarkStart w:id="104" w:name="_Toc128330010"/>
      <w:r>
        <w:t>7.3</w:t>
      </w:r>
      <w:r w:rsidRPr="00DF7C85">
        <w:t xml:space="preserve"> Target Blood Pressure</w:t>
      </w:r>
      <w:bookmarkEnd w:id="104"/>
    </w:p>
    <w:p w14:paraId="541AEF75" w14:textId="77777777" w:rsidR="00F36C42" w:rsidRPr="00DF7C85" w:rsidRDefault="00F36C42" w:rsidP="008D4BDF">
      <w:pPr>
        <w:spacing w:line="276" w:lineRule="auto"/>
        <w:jc w:val="both"/>
        <w:rPr>
          <w:rFonts w:cstheme="minorHAnsi"/>
        </w:rPr>
      </w:pPr>
      <w:r w:rsidRPr="00DF7C85">
        <w:rPr>
          <w:rFonts w:cstheme="minorHAnsi"/>
        </w:rPr>
        <w:t xml:space="preserve">Although target blood pressure for chronic kidney disease (CKD) has been examined in </w:t>
      </w:r>
      <w:proofErr w:type="gramStart"/>
      <w:r w:rsidRPr="00DF7C85">
        <w:rPr>
          <w:rFonts w:cstheme="minorHAnsi"/>
        </w:rPr>
        <w:t>a number of</w:t>
      </w:r>
      <w:proofErr w:type="gramEnd"/>
      <w:r w:rsidRPr="00DF7C85">
        <w:rPr>
          <w:rFonts w:cstheme="minorHAnsi"/>
        </w:rPr>
        <w:t xml:space="preserve"> studies and recommendations have been made in national and international guidelines, there are fewer studies looking at ideal blood pressure targets in the kidney transplant population. In a study of over 24000 kidney transplant recipients, Opelz et al </w:t>
      </w:r>
      <w:r w:rsidRPr="00DF7C85">
        <w:rPr>
          <w:rFonts w:cstheme="minorHAnsi"/>
          <w:vertAlign w:val="superscript"/>
        </w:rPr>
        <w:t>4</w:t>
      </w:r>
      <w:r w:rsidRPr="00DF7C85">
        <w:rPr>
          <w:rFonts w:cstheme="minorHAnsi"/>
        </w:rPr>
        <w:t xml:space="preserve"> showed that blood pressure &lt;140 systolic is associated with better graft and patient survival. Inspired by the SPRINT trial </w:t>
      </w:r>
      <w:r w:rsidRPr="00DF7C85">
        <w:rPr>
          <w:rFonts w:cstheme="minorHAnsi"/>
          <w:vertAlign w:val="superscript"/>
        </w:rPr>
        <w:t>25</w:t>
      </w:r>
      <w:r w:rsidRPr="00DF7C85">
        <w:rPr>
          <w:rFonts w:cstheme="minorHAnsi"/>
        </w:rPr>
        <w:t xml:space="preserve">, a study by Pagonas et al </w:t>
      </w:r>
      <w:r w:rsidRPr="00DF7C85">
        <w:rPr>
          <w:rFonts w:cstheme="minorHAnsi"/>
          <w:vertAlign w:val="superscript"/>
        </w:rPr>
        <w:t xml:space="preserve">5 </w:t>
      </w:r>
      <w:r w:rsidRPr="00DF7C85">
        <w:rPr>
          <w:rFonts w:cstheme="minorHAnsi"/>
        </w:rPr>
        <w:t xml:space="preserve">compared a systolic blood pressure target of &lt;130 with &lt;140 in 815 kidney transplant recipients. </w:t>
      </w:r>
      <w:r w:rsidRPr="00DF7C85">
        <w:rPr>
          <w:rFonts w:cstheme="minorHAnsi"/>
        </w:rPr>
        <w:lastRenderedPageBreak/>
        <w:t xml:space="preserve">After a median </w:t>
      </w:r>
      <w:r>
        <w:rPr>
          <w:rFonts w:cstheme="minorHAnsi"/>
        </w:rPr>
        <w:t>follow-up</w:t>
      </w:r>
      <w:r w:rsidRPr="00DF7C85">
        <w:rPr>
          <w:rFonts w:cstheme="minorHAnsi"/>
        </w:rPr>
        <w:t xml:space="preserve"> of 83.5 months, patients in the lower blood pressure group had significantly reduced mortality with a similar safety profile.</w:t>
      </w:r>
    </w:p>
    <w:p w14:paraId="2861502B" w14:textId="77777777" w:rsidR="00F36C42" w:rsidRPr="00DF7C85" w:rsidRDefault="00F36C42" w:rsidP="008D4BDF">
      <w:pPr>
        <w:spacing w:line="276" w:lineRule="auto"/>
        <w:jc w:val="both"/>
        <w:rPr>
          <w:rFonts w:cstheme="minorHAnsi"/>
        </w:rPr>
      </w:pPr>
      <w:r w:rsidRPr="00DF7C85">
        <w:rPr>
          <w:rFonts w:cstheme="minorHAnsi"/>
        </w:rPr>
        <w:t xml:space="preserve">Both ACC/AHA </w:t>
      </w:r>
      <w:r w:rsidRPr="00DF7C85">
        <w:rPr>
          <w:rFonts w:cstheme="minorHAnsi"/>
          <w:vertAlign w:val="superscript"/>
        </w:rPr>
        <w:t>26</w:t>
      </w:r>
      <w:r w:rsidRPr="00DF7C85">
        <w:rPr>
          <w:rFonts w:cstheme="minorHAnsi"/>
        </w:rPr>
        <w:t xml:space="preserve"> and KIDIGO </w:t>
      </w:r>
      <w:r w:rsidRPr="00DF7C85">
        <w:rPr>
          <w:rFonts w:cstheme="minorHAnsi"/>
          <w:vertAlign w:val="superscript"/>
        </w:rPr>
        <w:t>27</w:t>
      </w:r>
      <w:r w:rsidRPr="00DF7C85">
        <w:rPr>
          <w:rFonts w:cstheme="minorHAnsi"/>
        </w:rPr>
        <w:t xml:space="preserve"> guidelines recommend a blood pressure target of &lt;130/80 for the transplant population using standardized office blood pressure measurements. NICE CKD </w:t>
      </w:r>
      <w:r>
        <w:rPr>
          <w:rFonts w:cstheme="minorHAnsi"/>
        </w:rPr>
        <w:t>guideline</w:t>
      </w:r>
      <w:r w:rsidRPr="00DF7C85">
        <w:rPr>
          <w:rFonts w:cstheme="minorHAnsi"/>
        </w:rPr>
        <w:t xml:space="preserve"> </w:t>
      </w:r>
      <w:r w:rsidRPr="00DF7C85">
        <w:rPr>
          <w:rFonts w:cstheme="minorHAnsi"/>
          <w:vertAlign w:val="superscript"/>
        </w:rPr>
        <w:t xml:space="preserve">28 </w:t>
      </w:r>
      <w:r w:rsidRPr="00DF7C85">
        <w:rPr>
          <w:rFonts w:cstheme="minorHAnsi"/>
        </w:rPr>
        <w:t>do not specify a target for kidney transplant recipients but recommends blood pressure &lt;140/90 for CKD patients with ACR &lt;70 and &lt;130/80 for CKD patients with ACR &gt;70.</w:t>
      </w:r>
    </w:p>
    <w:p w14:paraId="384D5458" w14:textId="77777777" w:rsidR="00F36C42" w:rsidRPr="00DF7C85" w:rsidRDefault="00F36C42" w:rsidP="008D4BDF">
      <w:pPr>
        <w:spacing w:line="276" w:lineRule="auto"/>
        <w:jc w:val="both"/>
        <w:rPr>
          <w:rFonts w:cstheme="minorHAnsi"/>
        </w:rPr>
      </w:pPr>
      <w:r w:rsidRPr="00DF7C85">
        <w:rPr>
          <w:rFonts w:cstheme="minorHAnsi"/>
        </w:rPr>
        <w:t xml:space="preserve">We recommend a blood pressure target of &lt;130/80 for kidney transplant recipients with individualized </w:t>
      </w:r>
      <w:r>
        <w:rPr>
          <w:rFonts w:cstheme="minorHAnsi"/>
        </w:rPr>
        <w:t>decision-making</w:t>
      </w:r>
      <w:r w:rsidRPr="00DF7C85">
        <w:rPr>
          <w:rFonts w:cstheme="minorHAnsi"/>
        </w:rPr>
        <w:t xml:space="preserve"> as clinically appropriate.</w:t>
      </w:r>
    </w:p>
    <w:p w14:paraId="09A97BD4" w14:textId="77777777" w:rsidR="00F36C42" w:rsidRPr="00DF7C85" w:rsidRDefault="00F36C42" w:rsidP="00F36C42">
      <w:pPr>
        <w:pStyle w:val="Heading3"/>
      </w:pPr>
      <w:bookmarkStart w:id="105" w:name="_Toc128330011"/>
      <w:r>
        <w:t xml:space="preserve">7.4 </w:t>
      </w:r>
      <w:r w:rsidRPr="00DF7C85">
        <w:t>Pharmacotherapy</w:t>
      </w:r>
      <w:bookmarkEnd w:id="105"/>
    </w:p>
    <w:p w14:paraId="46002EE9" w14:textId="77777777" w:rsidR="00F36C42" w:rsidRPr="00DF7C85" w:rsidRDefault="00F36C42" w:rsidP="008D4BDF">
      <w:pPr>
        <w:spacing w:line="276" w:lineRule="auto"/>
        <w:jc w:val="both"/>
        <w:rPr>
          <w:rFonts w:cstheme="minorHAnsi"/>
        </w:rPr>
      </w:pPr>
      <w:r w:rsidRPr="00DF7C85">
        <w:rPr>
          <w:rFonts w:cstheme="minorHAnsi"/>
        </w:rPr>
        <w:t xml:space="preserve">At present, there is no evidence to suggest that blood pressure treatment should be any different in kidney transplant recipients with deteriorating graft function. There are no RCTs investigating the effect of different antihypertensive agents on graft survival and cardiovascular risk specifically undertaken in kidney transplant recipients with a failing allograft. </w:t>
      </w:r>
    </w:p>
    <w:p w14:paraId="101471A5" w14:textId="77777777" w:rsidR="00F36C42" w:rsidRPr="00DF7C85" w:rsidRDefault="00F36C42" w:rsidP="008D4BDF">
      <w:pPr>
        <w:spacing w:line="276" w:lineRule="auto"/>
        <w:jc w:val="both"/>
        <w:rPr>
          <w:rFonts w:cstheme="minorHAnsi"/>
        </w:rPr>
      </w:pPr>
      <w:r w:rsidRPr="00DF7C85">
        <w:rPr>
          <w:rFonts w:cstheme="minorHAnsi"/>
        </w:rPr>
        <w:t>A meta-analysis performed in 2020 looked at the effectiveness of different antihypertensive agents in kidney transplant</w:t>
      </w:r>
      <w:r>
        <w:rPr>
          <w:rFonts w:cstheme="minorHAnsi"/>
        </w:rPr>
        <w:t xml:space="preserve"> recipients</w:t>
      </w:r>
      <w:r w:rsidRPr="00DF7C85">
        <w:rPr>
          <w:rFonts w:cstheme="minorHAnsi"/>
        </w:rPr>
        <w:t>; however, it did not address hypertension treatment</w:t>
      </w:r>
      <w:r>
        <w:rPr>
          <w:rFonts w:cstheme="minorHAnsi"/>
        </w:rPr>
        <w:t xml:space="preserve"> specifically</w:t>
      </w:r>
      <w:r w:rsidRPr="00DF7C85">
        <w:rPr>
          <w:rFonts w:cstheme="minorHAnsi"/>
        </w:rPr>
        <w:t xml:space="preserve"> in patients with failing allografts.  None of the antihypertensive agents evaluated in this meta-analysis demonstrated a significant reduction </w:t>
      </w:r>
      <w:r>
        <w:rPr>
          <w:rFonts w:cstheme="minorHAnsi"/>
        </w:rPr>
        <w:t>in</w:t>
      </w:r>
      <w:r w:rsidRPr="00DF7C85">
        <w:rPr>
          <w:rFonts w:cstheme="minorHAnsi"/>
        </w:rPr>
        <w:t xml:space="preserve"> fatal or non-fatal cardiovascular events in the kidney transplant population, after </w:t>
      </w:r>
      <w:proofErr w:type="gramStart"/>
      <w:r w:rsidRPr="00DF7C85">
        <w:rPr>
          <w:rFonts w:cstheme="minorHAnsi"/>
        </w:rPr>
        <w:t>taking into account</w:t>
      </w:r>
      <w:proofErr w:type="gramEnd"/>
      <w:r w:rsidRPr="00DF7C85">
        <w:rPr>
          <w:rFonts w:cstheme="minorHAnsi"/>
        </w:rPr>
        <w:t xml:space="preserve"> the reduction in blood pressure </w:t>
      </w:r>
      <w:r w:rsidRPr="00DF7C85">
        <w:rPr>
          <w:rFonts w:cstheme="minorHAnsi"/>
          <w:vertAlign w:val="superscript"/>
        </w:rPr>
        <w:t>29</w:t>
      </w:r>
      <w:r w:rsidRPr="00DF7C85">
        <w:rPr>
          <w:rFonts w:cstheme="minorHAnsi"/>
        </w:rPr>
        <w:t>.</w:t>
      </w:r>
    </w:p>
    <w:p w14:paraId="7B5887FA" w14:textId="77777777" w:rsidR="00F36C42" w:rsidRPr="00DF7C85" w:rsidRDefault="00F36C42" w:rsidP="008D4BDF">
      <w:pPr>
        <w:spacing w:line="276" w:lineRule="auto"/>
        <w:jc w:val="both"/>
        <w:rPr>
          <w:rFonts w:cstheme="minorHAnsi"/>
        </w:rPr>
      </w:pPr>
      <w:r w:rsidRPr="00DF7C85">
        <w:rPr>
          <w:rFonts w:cstheme="minorHAnsi"/>
        </w:rPr>
        <w:t>The role of RAS inhibitor treatment in reducing proteinuria</w:t>
      </w:r>
      <w:r>
        <w:rPr>
          <w:rFonts w:cstheme="minorHAnsi"/>
        </w:rPr>
        <w:t>,</w:t>
      </w:r>
      <w:r w:rsidRPr="00DF7C85">
        <w:rPr>
          <w:rFonts w:cstheme="minorHAnsi"/>
        </w:rPr>
        <w:t xml:space="preserve"> cardiovascular events,</w:t>
      </w:r>
      <w:r>
        <w:rPr>
          <w:rFonts w:cstheme="minorHAnsi"/>
        </w:rPr>
        <w:t xml:space="preserve"> and </w:t>
      </w:r>
      <w:r w:rsidRPr="00DF7C85">
        <w:rPr>
          <w:rFonts w:cstheme="minorHAnsi"/>
        </w:rPr>
        <w:t xml:space="preserve">blood pressure control in renal transplant recipients </w:t>
      </w:r>
      <w:r w:rsidRPr="00DF7C85">
        <w:rPr>
          <w:rFonts w:cstheme="minorHAnsi"/>
          <w:vertAlign w:val="superscript"/>
        </w:rPr>
        <w:t>30, 31</w:t>
      </w:r>
      <w:r w:rsidRPr="00DF7C85">
        <w:rPr>
          <w:rFonts w:cstheme="minorHAnsi"/>
        </w:rPr>
        <w:t>, has been investigated by several studies</w:t>
      </w:r>
      <w:r>
        <w:rPr>
          <w:rFonts w:cstheme="minorHAnsi"/>
        </w:rPr>
        <w:t>. Other studies have reviewed their</w:t>
      </w:r>
      <w:r w:rsidRPr="00DF7C85">
        <w:rPr>
          <w:rFonts w:cstheme="minorHAnsi"/>
        </w:rPr>
        <w:t xml:space="preserve"> effect on patient and graft survival </w:t>
      </w:r>
      <w:r w:rsidRPr="00DF7C85">
        <w:rPr>
          <w:rFonts w:cstheme="minorHAnsi"/>
          <w:vertAlign w:val="superscript"/>
        </w:rPr>
        <w:t>32, 33</w:t>
      </w:r>
      <w:r w:rsidRPr="00DF7C85">
        <w:rPr>
          <w:rFonts w:cstheme="minorHAnsi"/>
        </w:rPr>
        <w:t xml:space="preserve">.  ACEi use appears to be associated with a decreased risk of graft loss in renal transplant recipients. However, this comes at the expense of a lower eGFR compared with controls which can be detrimental in patients with a failing allograft </w:t>
      </w:r>
      <w:r w:rsidRPr="00DF7C85">
        <w:rPr>
          <w:rFonts w:cstheme="minorHAnsi"/>
          <w:vertAlign w:val="superscript"/>
        </w:rPr>
        <w:t>29, 34</w:t>
      </w:r>
      <w:r w:rsidRPr="00DF7C85">
        <w:rPr>
          <w:rFonts w:cstheme="minorHAnsi"/>
        </w:rPr>
        <w:t>. ACEi and/or ARB treatment benefits including increased graft survival</w:t>
      </w:r>
      <w:r>
        <w:rPr>
          <w:rFonts w:cstheme="minorHAnsi"/>
        </w:rPr>
        <w:t>,</w:t>
      </w:r>
      <w:r w:rsidRPr="00DF7C85">
        <w:rPr>
          <w:rFonts w:cstheme="minorHAnsi"/>
        </w:rPr>
        <w:t xml:space="preserve"> improved blood pressure control and reduced proteinuria may be outweighed by competing harms such as </w:t>
      </w:r>
      <w:r>
        <w:rPr>
          <w:rFonts w:cstheme="minorHAnsi"/>
        </w:rPr>
        <w:t xml:space="preserve">the </w:t>
      </w:r>
      <w:r w:rsidRPr="00DF7C85">
        <w:rPr>
          <w:rFonts w:cstheme="minorHAnsi"/>
        </w:rPr>
        <w:t xml:space="preserve">increased risk of hyperkalemia, reduction in eGFR and worsening </w:t>
      </w:r>
      <w:r>
        <w:rPr>
          <w:rFonts w:cstheme="minorHAnsi"/>
        </w:rPr>
        <w:t>anaemia</w:t>
      </w:r>
      <w:r w:rsidRPr="00DF7C85">
        <w:rPr>
          <w:rFonts w:cstheme="minorHAnsi"/>
        </w:rPr>
        <w:t xml:space="preserve"> in patients with a failing allograft.</w:t>
      </w:r>
    </w:p>
    <w:p w14:paraId="0E657523" w14:textId="77777777" w:rsidR="00F36C42" w:rsidRDefault="00F36C42" w:rsidP="008D4BDF">
      <w:pPr>
        <w:spacing w:line="276" w:lineRule="auto"/>
        <w:jc w:val="both"/>
        <w:rPr>
          <w:rFonts w:cstheme="minorHAnsi"/>
        </w:rPr>
      </w:pPr>
      <w:r w:rsidRPr="00DF7C85">
        <w:rPr>
          <w:rFonts w:cstheme="minorHAnsi"/>
        </w:rPr>
        <w:t xml:space="preserve">In contrast, treatment with dihydropyridine calcium channel blockers (CCBs) results in </w:t>
      </w:r>
      <w:r>
        <w:rPr>
          <w:rFonts w:cstheme="minorHAnsi"/>
        </w:rPr>
        <w:t>short-term</w:t>
      </w:r>
      <w:r w:rsidRPr="00DF7C85">
        <w:rPr>
          <w:rFonts w:cstheme="minorHAnsi"/>
        </w:rPr>
        <w:t xml:space="preserve"> preservation or improvement in renal function, as assessed by two pooled analyses of 13 and 15 RCTs on eGFR and serum creatinine, respectively reported by Pisano et al</w:t>
      </w:r>
      <w:r w:rsidRPr="00DF7C85">
        <w:rPr>
          <w:rFonts w:cstheme="minorHAnsi"/>
          <w:vertAlign w:val="superscript"/>
        </w:rPr>
        <w:t xml:space="preserve"> 29</w:t>
      </w:r>
      <w:r w:rsidRPr="00DF7C85">
        <w:rPr>
          <w:rFonts w:cstheme="minorHAnsi"/>
        </w:rPr>
        <w:t xml:space="preserve">. This effect could be explained by vasodilation of the afferent arteriole and </w:t>
      </w:r>
      <w:r>
        <w:rPr>
          <w:rFonts w:cstheme="minorHAnsi"/>
        </w:rPr>
        <w:t xml:space="preserve">an </w:t>
      </w:r>
      <w:r w:rsidRPr="00DF7C85">
        <w:rPr>
          <w:rFonts w:cstheme="minorHAnsi"/>
        </w:rPr>
        <w:t>increase in intraglomerular pressure. Data from 16 RCTs involving 1327 kidney transplant recipients suggest that the administration of CCBs, as compared with placebo or routine therapy, also reduces the risk of graft loss as seen with ACEi.</w:t>
      </w:r>
      <w:r w:rsidRPr="00DF7C85">
        <w:rPr>
          <w:rFonts w:cstheme="minorHAnsi"/>
          <w:vertAlign w:val="superscript"/>
        </w:rPr>
        <w:t>29</w:t>
      </w:r>
      <w:r>
        <w:rPr>
          <w:rFonts w:cstheme="minorHAnsi"/>
        </w:rPr>
        <w:t xml:space="preserve"> Figure 1</w:t>
      </w:r>
      <w:r>
        <w:rPr>
          <w:rFonts w:cstheme="minorHAnsi"/>
          <w:vertAlign w:val="superscript"/>
        </w:rPr>
        <w:t xml:space="preserve"> </w:t>
      </w:r>
      <w:r>
        <w:rPr>
          <w:rFonts w:cstheme="minorHAnsi"/>
        </w:rPr>
        <w:t>summarizes the effect of CCB, ACEi and ARB treatment on various outcomes</w:t>
      </w:r>
      <w:r w:rsidRPr="00DF7C85">
        <w:rPr>
          <w:rFonts w:cstheme="minorHAnsi"/>
          <w:vertAlign w:val="superscript"/>
        </w:rPr>
        <w:t>29</w:t>
      </w:r>
      <w:r>
        <w:rPr>
          <w:rFonts w:cstheme="minorHAnsi"/>
        </w:rPr>
        <w:t xml:space="preserve">.  </w:t>
      </w:r>
    </w:p>
    <w:p w14:paraId="654B882B" w14:textId="77777777" w:rsidR="00F36C42" w:rsidRDefault="00F36C42" w:rsidP="008D4BDF">
      <w:pPr>
        <w:spacing w:line="276" w:lineRule="auto"/>
        <w:jc w:val="both"/>
        <w:rPr>
          <w:rFonts w:cstheme="minorHAnsi"/>
        </w:rPr>
      </w:pPr>
      <w:r>
        <w:rPr>
          <w:rFonts w:cstheme="minorHAnsi"/>
        </w:rPr>
        <w:t>T</w:t>
      </w:r>
      <w:r w:rsidRPr="00DF7C85">
        <w:rPr>
          <w:rFonts w:cstheme="minorHAnsi"/>
        </w:rPr>
        <w:t xml:space="preserve">here is very limited data in the literature regarding other antihypertensives such as </w:t>
      </w:r>
      <w:r w:rsidRPr="00063A1B">
        <w:rPr>
          <w:rFonts w:ascii="Symbol" w:hAnsi="Symbol" w:cstheme="minorHAnsi"/>
        </w:rPr>
        <w:t>a</w:t>
      </w:r>
      <w:r w:rsidRPr="00DF7C85">
        <w:rPr>
          <w:rFonts w:cstheme="minorHAnsi"/>
        </w:rPr>
        <w:t xml:space="preserve">-blockers, </w:t>
      </w:r>
      <w:r w:rsidRPr="00063A1B">
        <w:rPr>
          <w:rFonts w:ascii="Symbol" w:hAnsi="Symbol" w:cstheme="minorHAnsi"/>
        </w:rPr>
        <w:t>b</w:t>
      </w:r>
      <w:r w:rsidRPr="00DF7C85">
        <w:rPr>
          <w:rFonts w:cstheme="minorHAnsi"/>
        </w:rPr>
        <w:t>-</w:t>
      </w:r>
      <w:proofErr w:type="gramStart"/>
      <w:r w:rsidRPr="00DF7C85">
        <w:rPr>
          <w:rFonts w:cstheme="minorHAnsi"/>
        </w:rPr>
        <w:t>blockers</w:t>
      </w:r>
      <w:proofErr w:type="gramEnd"/>
      <w:r w:rsidRPr="00DF7C85">
        <w:rPr>
          <w:rFonts w:cstheme="minorHAnsi"/>
        </w:rPr>
        <w:t xml:space="preserve"> and diuretics.  There are reports that </w:t>
      </w:r>
      <w:r w:rsidRPr="00063A1B">
        <w:rPr>
          <w:rFonts w:ascii="Symbol" w:hAnsi="Symbol" w:cstheme="minorHAnsi"/>
        </w:rPr>
        <w:t>b</w:t>
      </w:r>
      <w:r w:rsidRPr="00DF7C85">
        <w:rPr>
          <w:rFonts w:cstheme="minorHAnsi"/>
        </w:rPr>
        <w:t xml:space="preserve"> -blockers might be beneficial to </w:t>
      </w:r>
      <w:r>
        <w:rPr>
          <w:rFonts w:cstheme="minorHAnsi"/>
        </w:rPr>
        <w:t>long-term</w:t>
      </w:r>
      <w:r w:rsidRPr="00DF7C85">
        <w:rPr>
          <w:rFonts w:cstheme="minorHAnsi"/>
        </w:rPr>
        <w:t xml:space="preserve"> survival through better blood pressure control and cardiovascular event prevention, with minimal effect on renal function or proteinuria </w:t>
      </w:r>
      <w:r w:rsidRPr="00DF7C85">
        <w:rPr>
          <w:rFonts w:cstheme="minorHAnsi"/>
          <w:vertAlign w:val="superscript"/>
        </w:rPr>
        <w:t>35</w:t>
      </w:r>
      <w:r w:rsidRPr="00DF7C85">
        <w:rPr>
          <w:rFonts w:cstheme="minorHAnsi"/>
        </w:rPr>
        <w:t xml:space="preserve">. However, there is evidence of possible metabolic side effects such as effects on glucose and lipid metabolism </w:t>
      </w:r>
      <w:r w:rsidRPr="00DF7C85">
        <w:rPr>
          <w:rFonts w:cstheme="minorHAnsi"/>
          <w:vertAlign w:val="superscript"/>
        </w:rPr>
        <w:t>36-38</w:t>
      </w:r>
      <w:r w:rsidRPr="00DF7C85">
        <w:rPr>
          <w:rFonts w:cstheme="minorHAnsi"/>
        </w:rPr>
        <w:t xml:space="preserve">.  </w:t>
      </w:r>
    </w:p>
    <w:p w14:paraId="1DB3CC44" w14:textId="77777777" w:rsidR="00F36C42" w:rsidRPr="00393BB9" w:rsidRDefault="00F36C42" w:rsidP="00F36C42">
      <w:pPr>
        <w:jc w:val="both"/>
        <w:rPr>
          <w:rFonts w:cstheme="minorHAnsi"/>
        </w:rPr>
      </w:pPr>
      <w:r w:rsidRPr="00C70DBB">
        <w:rPr>
          <w:rFonts w:cstheme="minorHAnsi"/>
          <w:noProof/>
          <w:color w:val="000894"/>
        </w:rPr>
        <w:lastRenderedPageBreak/>
        <w:drawing>
          <wp:inline distT="0" distB="0" distL="0" distR="0" wp14:anchorId="3C595F07" wp14:editId="4B9F63B0">
            <wp:extent cx="5943600" cy="4110990"/>
            <wp:effectExtent l="0" t="0" r="0" b="0"/>
            <wp:docPr id="4" name="Picture 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53"/>
                    <a:stretch>
                      <a:fillRect/>
                    </a:stretch>
                  </pic:blipFill>
                  <pic:spPr>
                    <a:xfrm>
                      <a:off x="0" y="0"/>
                      <a:ext cx="5943600" cy="4110990"/>
                    </a:xfrm>
                    <a:prstGeom prst="rect">
                      <a:avLst/>
                    </a:prstGeom>
                  </pic:spPr>
                </pic:pic>
              </a:graphicData>
            </a:graphic>
          </wp:inline>
        </w:drawing>
      </w:r>
      <w:r w:rsidRPr="00DF7C85">
        <w:rPr>
          <w:rFonts w:cstheme="minorHAnsi"/>
          <w:color w:val="000894"/>
        </w:rPr>
        <w:t xml:space="preserve">                                        </w:t>
      </w:r>
    </w:p>
    <w:p w14:paraId="15AFFCBC" w14:textId="77777777" w:rsidR="00F36C42" w:rsidRPr="00393BB9" w:rsidRDefault="00F36C42" w:rsidP="00F36C42">
      <w:pPr>
        <w:jc w:val="both"/>
        <w:rPr>
          <w:rFonts w:cstheme="minorHAnsi"/>
          <w:color w:val="000000" w:themeColor="text1"/>
        </w:rPr>
      </w:pPr>
      <w:r w:rsidRPr="00393BB9">
        <w:rPr>
          <w:rFonts w:cstheme="minorHAnsi"/>
          <w:color w:val="000000" w:themeColor="text1"/>
        </w:rPr>
        <w:t xml:space="preserve">Figure 1. Summary of effects of different drug interventions on key outcomes. The last column shows the effect when studies using </w:t>
      </w:r>
      <w:proofErr w:type="gramStart"/>
      <w:r w:rsidRPr="00393BB9">
        <w:rPr>
          <w:rFonts w:cstheme="minorHAnsi"/>
          <w:color w:val="000000" w:themeColor="text1"/>
        </w:rPr>
        <w:t>ACEi</w:t>
      </w:r>
      <w:proofErr w:type="gramEnd"/>
      <w:r w:rsidRPr="00393BB9">
        <w:rPr>
          <w:rFonts w:cstheme="minorHAnsi"/>
          <w:color w:val="000000" w:themeColor="text1"/>
        </w:rPr>
        <w:t xml:space="preserve"> and ARB are pooled together </w:t>
      </w:r>
      <w:r w:rsidRPr="00393BB9">
        <w:rPr>
          <w:rFonts w:cstheme="minorHAnsi"/>
          <w:color w:val="000000" w:themeColor="text1"/>
          <w:vertAlign w:val="superscript"/>
        </w:rPr>
        <w:t>29</w:t>
      </w:r>
    </w:p>
    <w:p w14:paraId="1B7F7C56" w14:textId="77777777" w:rsidR="00F36C42" w:rsidRPr="00DF7C85" w:rsidRDefault="00F36C42" w:rsidP="00F36C42">
      <w:pPr>
        <w:pStyle w:val="Heading3"/>
      </w:pPr>
      <w:bookmarkStart w:id="106" w:name="_Toc128330012"/>
      <w:r>
        <w:t xml:space="preserve">7.5 </w:t>
      </w:r>
      <w:r w:rsidRPr="00DF7C85">
        <w:t>Management of Hyperlipidaemia and Hyperglycaemia (Including Post-Transplant Diabetes) in Renal Transplant Recipients</w:t>
      </w:r>
      <w:bookmarkEnd w:id="106"/>
    </w:p>
    <w:p w14:paraId="04D1A006" w14:textId="77777777" w:rsidR="00F36C42" w:rsidRPr="00DF7C85" w:rsidRDefault="00F36C42" w:rsidP="008D4BDF">
      <w:pPr>
        <w:spacing w:line="276" w:lineRule="auto"/>
        <w:jc w:val="both"/>
        <w:rPr>
          <w:rFonts w:cstheme="minorHAnsi"/>
        </w:rPr>
      </w:pPr>
      <w:r w:rsidRPr="00DF7C85">
        <w:rPr>
          <w:rFonts w:cstheme="minorHAnsi"/>
        </w:rPr>
        <w:t xml:space="preserve">There is minimal data </w:t>
      </w:r>
      <w:r>
        <w:rPr>
          <w:rFonts w:cstheme="minorHAnsi"/>
        </w:rPr>
        <w:t>at present</w:t>
      </w:r>
      <w:r w:rsidRPr="00DF7C85">
        <w:rPr>
          <w:rFonts w:cstheme="minorHAnsi"/>
        </w:rPr>
        <w:t xml:space="preserve"> specific to the kidney transplant recipient with hyperlipidemia, with the majority being derived from the Assessment of Lescol in Renal Transplantation (ALERT) study and its extension studies </w:t>
      </w:r>
      <w:r w:rsidRPr="00DF7C85">
        <w:rPr>
          <w:rFonts w:cstheme="minorHAnsi"/>
          <w:vertAlign w:val="superscript"/>
        </w:rPr>
        <w:t>39-42</w:t>
      </w:r>
      <w:r w:rsidRPr="00DF7C85">
        <w:rPr>
          <w:rFonts w:cstheme="minorHAnsi"/>
        </w:rPr>
        <w:t>. A joint publication by the Association of British Clinical Diabetologists (ABCD) and the Renal Association for the management of hyperlipidemia in patients with CKD</w:t>
      </w:r>
      <w:r w:rsidRPr="00DF7C85">
        <w:rPr>
          <w:rFonts w:cstheme="minorHAnsi"/>
          <w:vertAlign w:val="superscript"/>
        </w:rPr>
        <w:t>43</w:t>
      </w:r>
      <w:r w:rsidRPr="00DF7C85">
        <w:rPr>
          <w:rFonts w:cstheme="minorHAnsi"/>
        </w:rPr>
        <w:t xml:space="preserve"> recommends the same principles are extrapolated to the renal transplant recipient</w:t>
      </w:r>
      <w:r>
        <w:rPr>
          <w:rFonts w:cstheme="minorHAnsi"/>
        </w:rPr>
        <w:t>,</w:t>
      </w:r>
      <w:r w:rsidRPr="00DF7C85">
        <w:rPr>
          <w:rFonts w:cstheme="minorHAnsi"/>
        </w:rPr>
        <w:t xml:space="preserve"> </w:t>
      </w:r>
      <w:proofErr w:type="gramStart"/>
      <w:r w:rsidRPr="00DF7C85">
        <w:rPr>
          <w:rFonts w:cstheme="minorHAnsi"/>
        </w:rPr>
        <w:t>taking into account</w:t>
      </w:r>
      <w:proofErr w:type="gramEnd"/>
      <w:r w:rsidRPr="00DF7C85">
        <w:rPr>
          <w:rFonts w:cstheme="minorHAnsi"/>
        </w:rPr>
        <w:t xml:space="preserve"> the relevant drug interactions and we would concur with this.</w:t>
      </w:r>
    </w:p>
    <w:p w14:paraId="78F4C32B" w14:textId="77777777" w:rsidR="00F36C42" w:rsidRDefault="00F36C42" w:rsidP="008D4BDF">
      <w:pPr>
        <w:spacing w:line="276" w:lineRule="auto"/>
        <w:jc w:val="both"/>
        <w:rPr>
          <w:rFonts w:cstheme="minorHAnsi"/>
        </w:rPr>
      </w:pPr>
      <w:r w:rsidRPr="00DF7C85">
        <w:rPr>
          <w:rFonts w:cstheme="minorHAnsi"/>
        </w:rPr>
        <w:t>The management of hyperglycemia in patients with CKD has been addressed by a recent excellent joint guideline issued by the ABCD/RA</w:t>
      </w:r>
      <w:r w:rsidRPr="00DF7C85">
        <w:rPr>
          <w:rFonts w:cstheme="minorHAnsi"/>
          <w:vertAlign w:val="superscript"/>
        </w:rPr>
        <w:t>44</w:t>
      </w:r>
      <w:r>
        <w:rPr>
          <w:rFonts w:cstheme="minorHAnsi"/>
          <w:vertAlign w:val="superscript"/>
        </w:rPr>
        <w:t xml:space="preserve"> </w:t>
      </w:r>
      <w:r w:rsidRPr="00DF7C85">
        <w:rPr>
          <w:rFonts w:cstheme="minorHAnsi"/>
        </w:rPr>
        <w:t>with</w:t>
      </w:r>
      <w:r>
        <w:rPr>
          <w:rFonts w:cstheme="minorHAnsi"/>
        </w:rPr>
        <w:t xml:space="preserve"> </w:t>
      </w:r>
      <w:r w:rsidRPr="00DF7C85">
        <w:rPr>
          <w:rFonts w:cstheme="minorHAnsi"/>
        </w:rPr>
        <w:t>earlier recommendations specific to post-transplant diabetes</w:t>
      </w:r>
      <w:r w:rsidRPr="00DF7C85">
        <w:rPr>
          <w:rFonts w:cstheme="minorHAnsi"/>
          <w:vertAlign w:val="superscript"/>
        </w:rPr>
        <w:t>45</w:t>
      </w:r>
      <w:r w:rsidRPr="00DF7C85">
        <w:rPr>
          <w:rFonts w:cstheme="minorHAnsi"/>
        </w:rPr>
        <w:t>. In the absence of any new evidence, it is suggested that the same advice is followed.</w:t>
      </w:r>
      <w:r>
        <w:rPr>
          <w:rFonts w:cstheme="minorHAnsi"/>
        </w:rPr>
        <w:t xml:space="preserve"> Below is a summary of the recommendations.</w:t>
      </w:r>
    </w:p>
    <w:p w14:paraId="60F04347" w14:textId="77777777" w:rsidR="00F36C42" w:rsidRPr="001D632E" w:rsidRDefault="00F36C42" w:rsidP="00346D2E">
      <w:pPr>
        <w:pStyle w:val="ListParagraph"/>
        <w:numPr>
          <w:ilvl w:val="0"/>
          <w:numId w:val="20"/>
        </w:numPr>
      </w:pPr>
      <w:r w:rsidRPr="001D632E">
        <w:t>We recommend treatment choices in the management of hyperlipidemia are consistent with those recommended by the ABCD/RA joint guidelines namely:</w:t>
      </w:r>
    </w:p>
    <w:p w14:paraId="6C56C580" w14:textId="77777777" w:rsidR="00F36C42" w:rsidRPr="001D632E" w:rsidRDefault="00F36C42" w:rsidP="00346D2E">
      <w:pPr>
        <w:pStyle w:val="ListParagraph"/>
        <w:numPr>
          <w:ilvl w:val="1"/>
          <w:numId w:val="20"/>
        </w:numPr>
      </w:pPr>
      <w:r w:rsidRPr="001D632E">
        <w:t>Statins should be continued or considered for all renal transplant recipients who have ESRD due to diabetic kidney disease (DKD) or who develop post-transplant diabetes mellitus (PTDM)</w:t>
      </w:r>
    </w:p>
    <w:p w14:paraId="57E3BA9B" w14:textId="77777777" w:rsidR="00F36C42" w:rsidRPr="001D632E" w:rsidRDefault="00F36C42" w:rsidP="00346D2E">
      <w:pPr>
        <w:pStyle w:val="ListParagraph"/>
        <w:numPr>
          <w:ilvl w:val="1"/>
          <w:numId w:val="20"/>
        </w:numPr>
      </w:pPr>
      <w:r w:rsidRPr="001D632E">
        <w:t>Medication choices and doses should be individualized based on interactions with immunosuppressive medications; with atorvastatin 20mg daily recommended where indicated</w:t>
      </w:r>
    </w:p>
    <w:p w14:paraId="3CC8B482" w14:textId="50E87386" w:rsidR="00F36C42" w:rsidRDefault="00F36C42" w:rsidP="00346D2E">
      <w:pPr>
        <w:pStyle w:val="ListParagraph"/>
        <w:numPr>
          <w:ilvl w:val="1"/>
          <w:numId w:val="20"/>
        </w:numPr>
      </w:pPr>
      <w:r w:rsidRPr="001D632E">
        <w:lastRenderedPageBreak/>
        <w:t>Aim to reduce total cholesterol to ≤4.0 mmol/L, non-HDL cholesterol to ≤2.5 mmol/L and LDL cholesterol to ≤2 mmol/L</w:t>
      </w:r>
    </w:p>
    <w:p w14:paraId="00A4B0BA" w14:textId="77777777" w:rsidR="00217066" w:rsidRPr="00217066" w:rsidRDefault="00217066" w:rsidP="00C446C7">
      <w:pPr>
        <w:pStyle w:val="ListParagraph"/>
        <w:numPr>
          <w:ilvl w:val="0"/>
          <w:numId w:val="0"/>
        </w:numPr>
        <w:ind w:left="720"/>
      </w:pPr>
    </w:p>
    <w:p w14:paraId="7AC1B637" w14:textId="77777777" w:rsidR="00F36C42" w:rsidRPr="001D632E" w:rsidRDefault="00F36C42" w:rsidP="00346D2E">
      <w:pPr>
        <w:pStyle w:val="ListParagraph"/>
        <w:numPr>
          <w:ilvl w:val="0"/>
          <w:numId w:val="21"/>
        </w:numPr>
      </w:pPr>
      <w:r w:rsidRPr="001D632E">
        <w:t>We recommend treatment choices in the management of hyperglycaemia are consistent with those recommended by the ABCD/RA joint guidelines namely:</w:t>
      </w:r>
    </w:p>
    <w:p w14:paraId="47CBB060" w14:textId="77777777" w:rsidR="00F36C42" w:rsidRPr="001D632E" w:rsidRDefault="00F36C42" w:rsidP="00346D2E">
      <w:pPr>
        <w:pStyle w:val="ListParagraph"/>
        <w:numPr>
          <w:ilvl w:val="1"/>
          <w:numId w:val="20"/>
        </w:numPr>
      </w:pPr>
      <w:r w:rsidRPr="001D632E">
        <w:t>A formal diagnosis of PTDM can be made from six weeks post-transplantation using an oral glucose tolerance test (gold standard) or after twelve weeks using HbA1c &gt;48mmol/L (&gt;6.5%)</w:t>
      </w:r>
    </w:p>
    <w:p w14:paraId="6C3A394D" w14:textId="77777777" w:rsidR="00F36C42" w:rsidRPr="001D632E" w:rsidRDefault="00F36C42" w:rsidP="00346D2E">
      <w:pPr>
        <w:pStyle w:val="ListParagraph"/>
        <w:numPr>
          <w:ilvl w:val="1"/>
          <w:numId w:val="20"/>
        </w:numPr>
      </w:pPr>
      <w:r w:rsidRPr="001D632E">
        <w:t>The target HbA1c for people with diabetes and a renal transplant should be around 53 mmol/L (7%), individualized to the patient’s needs and preferences</w:t>
      </w:r>
    </w:p>
    <w:p w14:paraId="10B5246E" w14:textId="77777777" w:rsidR="00F36C42" w:rsidRPr="001D632E" w:rsidRDefault="00F36C42" w:rsidP="00346D2E">
      <w:pPr>
        <w:pStyle w:val="ListParagraph"/>
        <w:numPr>
          <w:ilvl w:val="1"/>
          <w:numId w:val="20"/>
        </w:numPr>
      </w:pPr>
      <w:r w:rsidRPr="001D632E">
        <w:t>In patients with a stable eGFR &gt;30 ml/min/1.73m2 and BMI &gt;25 kg/m2, metformin should be considered first-line oral therapy for people with confirmed PTDM</w:t>
      </w:r>
    </w:p>
    <w:p w14:paraId="10434158" w14:textId="77777777" w:rsidR="00F36C42" w:rsidRPr="001D632E" w:rsidRDefault="00F36C42" w:rsidP="00346D2E">
      <w:pPr>
        <w:pStyle w:val="ListParagraph"/>
        <w:numPr>
          <w:ilvl w:val="1"/>
          <w:numId w:val="20"/>
        </w:numPr>
      </w:pPr>
      <w:r w:rsidRPr="001D632E">
        <w:t>Individualization of immunosuppression based on the recipient’s immunologic and glycaemic risk must be taken as part of an overall strategy to improve long-term transplant outcome and any planned modification to attenuate this risk should be balanced against the risk for allograft rejection</w:t>
      </w:r>
    </w:p>
    <w:p w14:paraId="344A9AE0" w14:textId="5D91EF53" w:rsidR="00F36C42" w:rsidRPr="00C50D4D" w:rsidRDefault="008D4BDF" w:rsidP="00C50D4D">
      <w:pPr>
        <w:pStyle w:val="Heading2"/>
      </w:pPr>
      <w:bookmarkStart w:id="107" w:name="_Toc128330013"/>
      <w:r w:rsidRPr="00C50D4D">
        <w:t>References</w:t>
      </w:r>
      <w:bookmarkEnd w:id="107"/>
    </w:p>
    <w:p w14:paraId="2D244730" w14:textId="77777777" w:rsidR="00F36C42" w:rsidRPr="00DF7C85" w:rsidRDefault="00F36C42">
      <w:pPr>
        <w:numPr>
          <w:ilvl w:val="0"/>
          <w:numId w:val="19"/>
        </w:numPr>
        <w:pBdr>
          <w:top w:val="nil"/>
          <w:left w:val="nil"/>
          <w:bottom w:val="nil"/>
          <w:right w:val="nil"/>
          <w:between w:val="nil"/>
        </w:pBdr>
        <w:spacing w:before="240" w:after="0" w:line="276" w:lineRule="auto"/>
        <w:ind w:left="709"/>
        <w:jc w:val="both"/>
        <w:rPr>
          <w:rFonts w:cstheme="minorHAnsi"/>
        </w:rPr>
      </w:pPr>
      <w:r w:rsidRPr="00DF7C85">
        <w:rPr>
          <w:rFonts w:cstheme="minorHAnsi"/>
          <w:color w:val="000000"/>
        </w:rPr>
        <w:t>Mange KC, Cizman B, Joffe M, Feldman HI. Arterial hypertension and renal allograft survival. JAMA. 2000; 283: 633-8</w:t>
      </w:r>
    </w:p>
    <w:p w14:paraId="63CBBEAC" w14:textId="77777777" w:rsidR="00F36C42" w:rsidRPr="00DF7C85" w:rsidRDefault="00F36C42">
      <w:pPr>
        <w:numPr>
          <w:ilvl w:val="0"/>
          <w:numId w:val="19"/>
        </w:numPr>
        <w:pBdr>
          <w:top w:val="nil"/>
          <w:left w:val="nil"/>
          <w:bottom w:val="nil"/>
          <w:right w:val="nil"/>
          <w:between w:val="nil"/>
        </w:pBdr>
        <w:spacing w:after="0" w:line="276" w:lineRule="auto"/>
        <w:ind w:left="709"/>
        <w:jc w:val="both"/>
        <w:rPr>
          <w:rFonts w:cstheme="minorHAnsi"/>
        </w:rPr>
      </w:pPr>
      <w:r w:rsidRPr="00DF7C85">
        <w:rPr>
          <w:rFonts w:cstheme="minorHAnsi"/>
          <w:color w:val="000000"/>
        </w:rPr>
        <w:t>Mange KC, Feldman HI, Joffe MM, Fa K, Bloom RD. Blood pressure and the survival of renal allografts from living donors. J Am Soc Nephrol. 2004; 15: 187-93</w:t>
      </w:r>
    </w:p>
    <w:p w14:paraId="1A5EBC35" w14:textId="77777777" w:rsidR="00F36C42" w:rsidRPr="00DF7C85" w:rsidRDefault="00F36C42">
      <w:pPr>
        <w:numPr>
          <w:ilvl w:val="0"/>
          <w:numId w:val="19"/>
        </w:numPr>
        <w:pBdr>
          <w:top w:val="nil"/>
          <w:left w:val="nil"/>
          <w:bottom w:val="nil"/>
          <w:right w:val="nil"/>
          <w:between w:val="nil"/>
        </w:pBdr>
        <w:spacing w:after="0" w:line="276" w:lineRule="auto"/>
        <w:ind w:left="709" w:hanging="703"/>
        <w:jc w:val="both"/>
        <w:rPr>
          <w:rFonts w:cstheme="minorHAnsi"/>
        </w:rPr>
      </w:pPr>
      <w:r w:rsidRPr="00DF7C85">
        <w:rPr>
          <w:rFonts w:cstheme="minorHAnsi"/>
          <w:color w:val="000000"/>
        </w:rPr>
        <w:t>Opelz G, Wujciak T, Ritz E. Association of chronic kidney graft failure with recipient blood pressure. Collaborative Transplant Study. Kidney Int. 1998; 53 (1): 217-22</w:t>
      </w:r>
    </w:p>
    <w:p w14:paraId="3F66EA10" w14:textId="77777777" w:rsidR="00F36C42" w:rsidRPr="00DF7C85" w:rsidRDefault="00F36C42">
      <w:pPr>
        <w:numPr>
          <w:ilvl w:val="0"/>
          <w:numId w:val="19"/>
        </w:numPr>
        <w:pBdr>
          <w:top w:val="nil"/>
          <w:left w:val="nil"/>
          <w:bottom w:val="nil"/>
          <w:right w:val="nil"/>
          <w:between w:val="nil"/>
        </w:pBdr>
        <w:spacing w:after="0" w:line="276" w:lineRule="auto"/>
        <w:ind w:left="709"/>
        <w:jc w:val="both"/>
        <w:rPr>
          <w:rFonts w:cstheme="minorHAnsi"/>
        </w:rPr>
      </w:pPr>
      <w:r w:rsidRPr="00DF7C85">
        <w:rPr>
          <w:rFonts w:cstheme="minorHAnsi"/>
          <w:color w:val="000000"/>
        </w:rPr>
        <w:t>Opelz G, Dohler B. Improved long-term outcomes after renal transplantation associated with blood pressure control. Collaborative Transplant Study. Am J Transplant. 2005; 5: 2725-31</w:t>
      </w:r>
    </w:p>
    <w:p w14:paraId="6A2E331D" w14:textId="77777777" w:rsidR="00F36C42" w:rsidRPr="00DF7C85" w:rsidRDefault="00F36C42">
      <w:pPr>
        <w:numPr>
          <w:ilvl w:val="0"/>
          <w:numId w:val="19"/>
        </w:numPr>
        <w:pBdr>
          <w:top w:val="nil"/>
          <w:left w:val="nil"/>
          <w:bottom w:val="nil"/>
          <w:right w:val="nil"/>
          <w:between w:val="nil"/>
        </w:pBdr>
        <w:spacing w:after="0" w:line="276" w:lineRule="auto"/>
        <w:ind w:left="709"/>
        <w:jc w:val="both"/>
        <w:rPr>
          <w:rFonts w:cstheme="minorHAnsi"/>
        </w:rPr>
      </w:pPr>
      <w:r w:rsidRPr="00DF7C85">
        <w:rPr>
          <w:rFonts w:cstheme="minorHAnsi"/>
          <w:color w:val="000000"/>
        </w:rPr>
        <w:t>Pagonas N, Bauer F, Seibert FS, Seidel M, Schenker P, Kykalos S, Dürr M, Reinke P, Babel N, Viebahn R, Westhoff TH. Intensive blood pressure control is associated with improved patient and graft survival after renal transplantation. Sci Rep. 2019;9(1):10507</w:t>
      </w:r>
    </w:p>
    <w:p w14:paraId="096BCE6F" w14:textId="77777777" w:rsidR="00F36C42" w:rsidRPr="00DF7C85" w:rsidRDefault="00F36C42">
      <w:pPr>
        <w:numPr>
          <w:ilvl w:val="0"/>
          <w:numId w:val="19"/>
        </w:numPr>
        <w:pBdr>
          <w:top w:val="nil"/>
          <w:left w:val="nil"/>
          <w:bottom w:val="nil"/>
          <w:right w:val="nil"/>
          <w:between w:val="nil"/>
        </w:pBdr>
        <w:spacing w:after="0" w:line="276" w:lineRule="auto"/>
        <w:ind w:left="709"/>
        <w:jc w:val="both"/>
        <w:rPr>
          <w:rFonts w:cstheme="minorHAnsi"/>
        </w:rPr>
      </w:pPr>
      <w:r w:rsidRPr="00DF7C85">
        <w:rPr>
          <w:rFonts w:cstheme="minorHAnsi"/>
          <w:color w:val="000000"/>
        </w:rPr>
        <w:t>Malhotra R, Katz R, Weiner DE, Levey AS, Cheung AK, Bostom AG. Blood Pressure, Chronic Kidney Disease Progression, and Kidney Allograft Failure in Kidney Transplant Recipients: A Secondary Analysis of the FAVORIT Trial. American Journal of Hypertension. 2019; 32 (9): 816-823</w:t>
      </w:r>
    </w:p>
    <w:p w14:paraId="07DB2536" w14:textId="77777777" w:rsidR="00F36C42" w:rsidRPr="00DF7C85" w:rsidRDefault="00F36C42">
      <w:pPr>
        <w:numPr>
          <w:ilvl w:val="0"/>
          <w:numId w:val="19"/>
        </w:numPr>
        <w:pBdr>
          <w:top w:val="nil"/>
          <w:left w:val="nil"/>
          <w:bottom w:val="nil"/>
          <w:right w:val="nil"/>
          <w:between w:val="nil"/>
        </w:pBdr>
        <w:spacing w:after="0" w:line="276" w:lineRule="auto"/>
        <w:ind w:left="709"/>
        <w:jc w:val="both"/>
        <w:rPr>
          <w:rFonts w:cstheme="minorHAnsi"/>
        </w:rPr>
      </w:pPr>
      <w:r w:rsidRPr="00DF7C85">
        <w:rPr>
          <w:rFonts w:cstheme="minorHAnsi"/>
          <w:color w:val="000000"/>
        </w:rPr>
        <w:t xml:space="preserve">Vetromile F, Pernin V, Szwarc I, Garrigue V, Delmas S, Mourad G, Fesler P. </w:t>
      </w:r>
      <w:proofErr w:type="gramStart"/>
      <w:r w:rsidRPr="00DF7C85">
        <w:rPr>
          <w:rFonts w:cstheme="minorHAnsi"/>
          <w:color w:val="000000"/>
        </w:rPr>
        <w:t>Prevalence</w:t>
      </w:r>
      <w:proofErr w:type="gramEnd"/>
      <w:r w:rsidRPr="00DF7C85">
        <w:rPr>
          <w:rFonts w:cstheme="minorHAnsi"/>
          <w:color w:val="000000"/>
        </w:rPr>
        <w:t xml:space="preserve"> and risk factors of noncontrolled and resistant arterial hypertension in renal transplant recipients.  Transplantation. 2015; 99 (5): 1016-22</w:t>
      </w:r>
    </w:p>
    <w:p w14:paraId="7D2F3486" w14:textId="77777777" w:rsidR="00F36C42" w:rsidRPr="00DF7C85" w:rsidRDefault="00F36C42">
      <w:pPr>
        <w:numPr>
          <w:ilvl w:val="0"/>
          <w:numId w:val="19"/>
        </w:numPr>
        <w:pBdr>
          <w:top w:val="nil"/>
          <w:left w:val="nil"/>
          <w:bottom w:val="nil"/>
          <w:right w:val="nil"/>
          <w:between w:val="nil"/>
        </w:pBdr>
        <w:spacing w:after="0" w:line="276" w:lineRule="auto"/>
        <w:ind w:left="709"/>
        <w:jc w:val="both"/>
        <w:rPr>
          <w:rFonts w:cstheme="minorHAnsi"/>
        </w:rPr>
      </w:pPr>
      <w:r w:rsidRPr="00DF7C85">
        <w:rPr>
          <w:rFonts w:cstheme="minorHAnsi"/>
          <w:color w:val="000000"/>
        </w:rPr>
        <w:t>Workeneh B, Moore LW, Nolte Fong JV, Shypailo R, Gaber AO, Mitch WE. Successful kidney transplantation is associated with weight gain from truncal obesity and insulin resistance. J Ren Nutr. 2019; 29: 548–55</w:t>
      </w:r>
    </w:p>
    <w:p w14:paraId="16FEE375" w14:textId="77777777" w:rsidR="00F36C42" w:rsidRPr="00DF7C85" w:rsidRDefault="00F36C42">
      <w:pPr>
        <w:numPr>
          <w:ilvl w:val="0"/>
          <w:numId w:val="19"/>
        </w:numPr>
        <w:pBdr>
          <w:top w:val="nil"/>
          <w:left w:val="nil"/>
          <w:bottom w:val="nil"/>
          <w:right w:val="nil"/>
          <w:between w:val="nil"/>
        </w:pBdr>
        <w:spacing w:after="0" w:line="276" w:lineRule="auto"/>
        <w:ind w:left="709"/>
        <w:jc w:val="both"/>
        <w:rPr>
          <w:rFonts w:cstheme="minorHAnsi"/>
        </w:rPr>
      </w:pPr>
      <w:r w:rsidRPr="00DF7C85">
        <w:rPr>
          <w:rFonts w:cstheme="minorHAnsi"/>
          <w:color w:val="000000"/>
        </w:rPr>
        <w:t xml:space="preserve">Mallamaci F, Tripepi R, D'Arrigo G, Panuccio V, Parlongo G, Caridi G, Versace MC, Parati G, Tripepi G, Zoccali C. Sleep-Disordered </w:t>
      </w:r>
      <w:proofErr w:type="gramStart"/>
      <w:r w:rsidRPr="00DF7C85">
        <w:rPr>
          <w:rFonts w:cstheme="minorHAnsi"/>
          <w:color w:val="000000"/>
        </w:rPr>
        <w:t>Breathing</w:t>
      </w:r>
      <w:proofErr w:type="gramEnd"/>
      <w:r w:rsidRPr="00DF7C85">
        <w:rPr>
          <w:rFonts w:cstheme="minorHAnsi"/>
          <w:color w:val="000000"/>
        </w:rPr>
        <w:t xml:space="preserve"> and 24-Hour Ambulatory Blood Pressure Monitoring in Renal Transplant Patients: Longitudinal Study.  Journal of the American Heart Association. 2020; 9(13): e016237</w:t>
      </w:r>
    </w:p>
    <w:p w14:paraId="4B68ACD6" w14:textId="77777777" w:rsidR="00F36C42" w:rsidRPr="00DF7C85" w:rsidRDefault="00F36C42">
      <w:pPr>
        <w:numPr>
          <w:ilvl w:val="0"/>
          <w:numId w:val="19"/>
        </w:numPr>
        <w:pBdr>
          <w:top w:val="nil"/>
          <w:left w:val="nil"/>
          <w:bottom w:val="nil"/>
          <w:right w:val="nil"/>
          <w:between w:val="nil"/>
        </w:pBdr>
        <w:spacing w:after="0" w:line="276" w:lineRule="auto"/>
        <w:ind w:left="709"/>
        <w:jc w:val="both"/>
        <w:rPr>
          <w:rFonts w:cstheme="minorHAnsi"/>
        </w:rPr>
      </w:pPr>
      <w:r w:rsidRPr="00DF7C85">
        <w:rPr>
          <w:rFonts w:cstheme="minorHAnsi"/>
          <w:color w:val="000000"/>
        </w:rPr>
        <w:lastRenderedPageBreak/>
        <w:t>Margreiter R. Efficacy and safety of tacrolimus compared with ciclosporin micro emulsion in renal transplantation: a randomised multicentre study. Lancet. 2002; 359: 741–6</w:t>
      </w:r>
    </w:p>
    <w:p w14:paraId="09BB6377" w14:textId="77777777" w:rsidR="00F36C42" w:rsidRPr="00DF7C85" w:rsidRDefault="00F36C42">
      <w:pPr>
        <w:numPr>
          <w:ilvl w:val="0"/>
          <w:numId w:val="19"/>
        </w:numPr>
        <w:pBdr>
          <w:top w:val="nil"/>
          <w:left w:val="nil"/>
          <w:bottom w:val="nil"/>
          <w:right w:val="nil"/>
          <w:between w:val="nil"/>
        </w:pBdr>
        <w:spacing w:after="0" w:line="276" w:lineRule="auto"/>
        <w:ind w:left="709"/>
        <w:jc w:val="both"/>
        <w:rPr>
          <w:rFonts w:cstheme="minorHAnsi"/>
        </w:rPr>
      </w:pPr>
      <w:r w:rsidRPr="00DF7C85">
        <w:rPr>
          <w:rFonts w:cstheme="minorHAnsi"/>
          <w:color w:val="000000"/>
        </w:rPr>
        <w:t>Kramer BK, Del Castillo D, Margreiter R, Sperschneider H, Olbricht CJ, Ortuno J, et al. Efficacy and safety of tacrolimus compared with ciclosporin A in renal transplantation: three-year observational results. Nephrol Dial Transplant. 2005; 23 (7): 2386–92</w:t>
      </w:r>
    </w:p>
    <w:p w14:paraId="74E377E9" w14:textId="77777777" w:rsidR="00F36C42" w:rsidRPr="00DF7C85" w:rsidRDefault="00F36C42">
      <w:pPr>
        <w:numPr>
          <w:ilvl w:val="0"/>
          <w:numId w:val="19"/>
        </w:numPr>
        <w:pBdr>
          <w:top w:val="nil"/>
          <w:left w:val="nil"/>
          <w:bottom w:val="nil"/>
          <w:right w:val="nil"/>
          <w:between w:val="nil"/>
        </w:pBdr>
        <w:spacing w:after="0" w:line="276" w:lineRule="auto"/>
        <w:ind w:left="709"/>
        <w:jc w:val="both"/>
        <w:rPr>
          <w:rFonts w:cstheme="minorHAnsi"/>
        </w:rPr>
      </w:pPr>
      <w:r w:rsidRPr="00DF7C85">
        <w:rPr>
          <w:rFonts w:cstheme="minorHAnsi"/>
          <w:color w:val="000000"/>
        </w:rPr>
        <w:t>Morales JM, Dominguez-Gil B. Impact of tacrolimus and mycophenolate mofetil combination on cardiovascular risk profile after kidney transplantation. J Am Soc Nephrol. 2006; 17: S296–303</w:t>
      </w:r>
    </w:p>
    <w:p w14:paraId="557C21E0" w14:textId="77777777" w:rsidR="00F36C42" w:rsidRPr="00DF7C85" w:rsidRDefault="00F36C42">
      <w:pPr>
        <w:numPr>
          <w:ilvl w:val="0"/>
          <w:numId w:val="19"/>
        </w:numPr>
        <w:pBdr>
          <w:top w:val="nil"/>
          <w:left w:val="nil"/>
          <w:bottom w:val="nil"/>
          <w:right w:val="nil"/>
          <w:between w:val="nil"/>
        </w:pBdr>
        <w:spacing w:after="0" w:line="276" w:lineRule="auto"/>
        <w:ind w:left="709"/>
        <w:jc w:val="both"/>
        <w:rPr>
          <w:rFonts w:cstheme="minorHAnsi"/>
        </w:rPr>
      </w:pPr>
      <w:r w:rsidRPr="00FB4C77">
        <w:rPr>
          <w:rFonts w:cstheme="minorHAnsi"/>
          <w:color w:val="000000"/>
          <w:lang w:val="de-DE"/>
        </w:rPr>
        <w:t xml:space="preserve">Seibert F, Behrendt C, Schmidt S, van der Giet M, Zidek W, Westhoff TH. </w:t>
      </w:r>
      <w:r w:rsidRPr="00DF7C85">
        <w:rPr>
          <w:rFonts w:cstheme="minorHAnsi"/>
          <w:color w:val="000000"/>
        </w:rPr>
        <w:t>Differential effects of cyclosporine and tacrolimus on arterial function. Transpl Int. 2011; 24: 708–15</w:t>
      </w:r>
    </w:p>
    <w:p w14:paraId="162C6E83" w14:textId="77777777" w:rsidR="00F36C42" w:rsidRPr="00DF7C85" w:rsidRDefault="00F36C42">
      <w:pPr>
        <w:numPr>
          <w:ilvl w:val="0"/>
          <w:numId w:val="19"/>
        </w:numPr>
        <w:pBdr>
          <w:top w:val="nil"/>
          <w:left w:val="nil"/>
          <w:bottom w:val="nil"/>
          <w:right w:val="nil"/>
          <w:between w:val="nil"/>
        </w:pBdr>
        <w:spacing w:after="0" w:line="276" w:lineRule="auto"/>
        <w:ind w:left="709"/>
        <w:jc w:val="both"/>
        <w:rPr>
          <w:rFonts w:cstheme="minorHAnsi"/>
        </w:rPr>
      </w:pPr>
      <w:r w:rsidRPr="00FB4C77">
        <w:rPr>
          <w:rFonts w:cstheme="minorHAnsi"/>
          <w:color w:val="000000"/>
          <w:lang w:val="pt-BR"/>
        </w:rPr>
        <w:t xml:space="preserve">Ekberg H, Tedesco-Silva H, Demirbas A, Vitko S, Nashan B, Gurkan A, et al. </w:t>
      </w:r>
      <w:r w:rsidRPr="00DF7C85">
        <w:rPr>
          <w:rFonts w:cstheme="minorHAnsi"/>
          <w:color w:val="000000"/>
        </w:rPr>
        <w:t>Reduced exposure to calcineurin inhibitors in renal transplantation. N. Engl J Med. 2007; 357: 2562–75</w:t>
      </w:r>
    </w:p>
    <w:p w14:paraId="41984CCA" w14:textId="77777777" w:rsidR="00F36C42" w:rsidRPr="00DF7C85" w:rsidRDefault="00F36C42">
      <w:pPr>
        <w:numPr>
          <w:ilvl w:val="0"/>
          <w:numId w:val="19"/>
        </w:numPr>
        <w:pBdr>
          <w:top w:val="nil"/>
          <w:left w:val="nil"/>
          <w:bottom w:val="nil"/>
          <w:right w:val="nil"/>
          <w:between w:val="nil"/>
        </w:pBdr>
        <w:spacing w:after="0" w:line="276" w:lineRule="auto"/>
        <w:ind w:left="709"/>
        <w:jc w:val="both"/>
        <w:rPr>
          <w:rFonts w:cstheme="minorHAnsi"/>
        </w:rPr>
      </w:pPr>
      <w:r w:rsidRPr="00DF7C85">
        <w:rPr>
          <w:rFonts w:cstheme="minorHAnsi"/>
          <w:color w:val="000000"/>
        </w:rPr>
        <w:t>Ekberg H, Bernasconi C, Tedesco-Silva H, Vítko S, Hugo C, Demirbas A, Acevedo RR, Grinyó J, Frei U, Vanrenterghem Y, Daloze P, Halloran P. Calcineurin inhibitor minimization in the Symphony study: observational results 3 years after transplantation. Am J Transplant. 2009; 9(8): 1876-85</w:t>
      </w:r>
    </w:p>
    <w:p w14:paraId="0AC6B9E0" w14:textId="77777777" w:rsidR="00F36C42" w:rsidRPr="00DF7C85" w:rsidRDefault="00F36C42">
      <w:pPr>
        <w:numPr>
          <w:ilvl w:val="0"/>
          <w:numId w:val="19"/>
        </w:numPr>
        <w:pBdr>
          <w:top w:val="nil"/>
          <w:left w:val="nil"/>
          <w:bottom w:val="nil"/>
          <w:right w:val="nil"/>
          <w:between w:val="nil"/>
        </w:pBdr>
        <w:spacing w:after="0" w:line="276" w:lineRule="auto"/>
        <w:ind w:left="709"/>
        <w:jc w:val="both"/>
        <w:rPr>
          <w:rFonts w:cstheme="minorHAnsi"/>
        </w:rPr>
      </w:pPr>
      <w:r w:rsidRPr="00DF7C85">
        <w:rPr>
          <w:rFonts w:cstheme="minorHAnsi"/>
          <w:color w:val="000000"/>
        </w:rPr>
        <w:t>Rice JB, White AG, Scarpati LM, Wan G, Nelson WW. Long term systemic corticosteroid exposure: a systematic literature review. Clin Ther. 2017; 39: 2216–29</w:t>
      </w:r>
    </w:p>
    <w:p w14:paraId="04D58DB6" w14:textId="77777777" w:rsidR="00F36C42" w:rsidRPr="00DF7C85" w:rsidRDefault="00F36C42">
      <w:pPr>
        <w:numPr>
          <w:ilvl w:val="0"/>
          <w:numId w:val="19"/>
        </w:numPr>
        <w:pBdr>
          <w:top w:val="nil"/>
          <w:left w:val="nil"/>
          <w:bottom w:val="nil"/>
          <w:right w:val="nil"/>
          <w:between w:val="nil"/>
        </w:pBdr>
        <w:spacing w:after="0" w:line="276" w:lineRule="auto"/>
        <w:ind w:left="709"/>
        <w:jc w:val="both"/>
        <w:rPr>
          <w:rFonts w:cstheme="minorHAnsi"/>
        </w:rPr>
      </w:pPr>
      <w:r w:rsidRPr="00DF7C85">
        <w:rPr>
          <w:rFonts w:cstheme="minorHAnsi"/>
          <w:color w:val="000000"/>
        </w:rPr>
        <w:t>Aziz F, Clark D, Garg N, Mandelbrot D, Djamali A. Hypertension guidelines: how do they apply to kidney transplant recipients. Transpl Rev. 2018; 32: 225–33</w:t>
      </w:r>
    </w:p>
    <w:p w14:paraId="0FAA2F99" w14:textId="77777777" w:rsidR="00F36C42" w:rsidRPr="00DF7C85" w:rsidRDefault="00F36C42">
      <w:pPr>
        <w:numPr>
          <w:ilvl w:val="0"/>
          <w:numId w:val="19"/>
        </w:numPr>
        <w:pBdr>
          <w:top w:val="nil"/>
          <w:left w:val="nil"/>
          <w:bottom w:val="nil"/>
          <w:right w:val="nil"/>
          <w:between w:val="nil"/>
        </w:pBdr>
        <w:spacing w:after="0" w:line="276" w:lineRule="auto"/>
        <w:ind w:left="709"/>
        <w:jc w:val="both"/>
        <w:rPr>
          <w:rFonts w:cstheme="minorHAnsi"/>
        </w:rPr>
      </w:pPr>
      <w:r w:rsidRPr="00DF7C85">
        <w:rPr>
          <w:rFonts w:cstheme="minorHAnsi"/>
          <w:color w:val="000000"/>
        </w:rPr>
        <w:t>Jackson SH, Beevers DG, Myers K. Does long-term low-dose corticosteroid therapy cause hypertension? Clin Sci. 1981; 61: 381s–3s</w:t>
      </w:r>
    </w:p>
    <w:p w14:paraId="0EF0C811" w14:textId="77777777" w:rsidR="00F36C42" w:rsidRPr="00DF7C85" w:rsidRDefault="00F36C42">
      <w:pPr>
        <w:numPr>
          <w:ilvl w:val="0"/>
          <w:numId w:val="19"/>
        </w:numPr>
        <w:pBdr>
          <w:top w:val="nil"/>
          <w:left w:val="nil"/>
          <w:bottom w:val="nil"/>
          <w:right w:val="nil"/>
          <w:between w:val="nil"/>
        </w:pBdr>
        <w:spacing w:after="0" w:line="276" w:lineRule="auto"/>
        <w:ind w:left="709"/>
        <w:jc w:val="both"/>
        <w:rPr>
          <w:rFonts w:cstheme="minorHAnsi"/>
        </w:rPr>
      </w:pPr>
      <w:r w:rsidRPr="00DF7C85">
        <w:rPr>
          <w:rFonts w:cstheme="minorHAnsi"/>
          <w:color w:val="000000"/>
        </w:rPr>
        <w:t>Curtis JJ, Galla JH, Kotchen TA, Lucas B, McRoberts JW, Luke RG. Prevalence of hypertension in a renal transplant population on alternate-day steroid therapy. Clin Nephrol. 1976; 5(3): 123–7</w:t>
      </w:r>
    </w:p>
    <w:p w14:paraId="4637F297" w14:textId="77777777" w:rsidR="00F36C42" w:rsidRPr="00DF7C85" w:rsidRDefault="00F36C42">
      <w:pPr>
        <w:numPr>
          <w:ilvl w:val="0"/>
          <w:numId w:val="19"/>
        </w:numPr>
        <w:pBdr>
          <w:top w:val="nil"/>
          <w:left w:val="nil"/>
          <w:bottom w:val="nil"/>
          <w:right w:val="nil"/>
          <w:between w:val="nil"/>
        </w:pBdr>
        <w:spacing w:after="0" w:line="276" w:lineRule="auto"/>
        <w:ind w:left="709"/>
        <w:jc w:val="both"/>
        <w:rPr>
          <w:rFonts w:cstheme="minorHAnsi"/>
        </w:rPr>
      </w:pPr>
      <w:r w:rsidRPr="00DF7C85">
        <w:rPr>
          <w:rFonts w:cstheme="minorHAnsi"/>
          <w:color w:val="000000"/>
        </w:rPr>
        <w:t xml:space="preserve">Pascual J, Royuela A, Galeano C, Crespo M, Zamora J. Very early steroid </w:t>
      </w:r>
      <w:proofErr w:type="gramStart"/>
      <w:r w:rsidRPr="00DF7C85">
        <w:rPr>
          <w:rFonts w:cstheme="minorHAnsi"/>
          <w:color w:val="000000"/>
        </w:rPr>
        <w:t>withdrawal</w:t>
      </w:r>
      <w:proofErr w:type="gramEnd"/>
      <w:r w:rsidRPr="00DF7C85">
        <w:rPr>
          <w:rFonts w:cstheme="minorHAnsi"/>
          <w:color w:val="000000"/>
        </w:rPr>
        <w:t xml:space="preserve"> or complete avoidance for kidney transplant recipients: a systematic review. Nephrol Dial Transplant. 2012; 27: 825–3</w:t>
      </w:r>
    </w:p>
    <w:p w14:paraId="6B627075" w14:textId="77777777" w:rsidR="00F36C42" w:rsidRPr="00DF7C85" w:rsidRDefault="00F36C42">
      <w:pPr>
        <w:numPr>
          <w:ilvl w:val="0"/>
          <w:numId w:val="19"/>
        </w:numPr>
        <w:pBdr>
          <w:top w:val="nil"/>
          <w:left w:val="nil"/>
          <w:bottom w:val="nil"/>
          <w:right w:val="nil"/>
          <w:between w:val="nil"/>
        </w:pBdr>
        <w:spacing w:after="0" w:line="276" w:lineRule="auto"/>
        <w:ind w:left="709"/>
        <w:jc w:val="both"/>
        <w:rPr>
          <w:rFonts w:cstheme="minorHAnsi"/>
        </w:rPr>
      </w:pPr>
      <w:r w:rsidRPr="00DF7C85">
        <w:rPr>
          <w:rFonts w:cstheme="minorHAnsi"/>
          <w:color w:val="000000"/>
        </w:rPr>
        <w:t>Rajan DK, Stavropoulos SW, Shlansky-Goldberg RD. Management of transplant renal artery stenosis. Semin Interv Radiol. 2004; 21: 259–69</w:t>
      </w:r>
    </w:p>
    <w:p w14:paraId="3A811E08" w14:textId="77777777" w:rsidR="00F36C42" w:rsidRPr="00DF7C85" w:rsidRDefault="00F36C42">
      <w:pPr>
        <w:numPr>
          <w:ilvl w:val="0"/>
          <w:numId w:val="19"/>
        </w:numPr>
        <w:pBdr>
          <w:top w:val="nil"/>
          <w:left w:val="nil"/>
          <w:bottom w:val="nil"/>
          <w:right w:val="nil"/>
          <w:between w:val="nil"/>
        </w:pBdr>
        <w:spacing w:after="0" w:line="276" w:lineRule="auto"/>
        <w:ind w:left="709"/>
        <w:jc w:val="both"/>
        <w:rPr>
          <w:rFonts w:cstheme="minorHAnsi"/>
        </w:rPr>
      </w:pPr>
      <w:r w:rsidRPr="00DF7C85">
        <w:rPr>
          <w:rFonts w:cstheme="minorHAnsi"/>
          <w:color w:val="000000"/>
        </w:rPr>
        <w:t>Chen LX, De Mattos A, Bang H, Vu CT, Gandhi M, Alnimri M, et al. Angioplasty vs stent in the treatment of transplant renal artery stenosis. Clin Transpl. 2018; 32(4): e13217</w:t>
      </w:r>
    </w:p>
    <w:p w14:paraId="0669F78B" w14:textId="77777777" w:rsidR="00F36C42" w:rsidRPr="00DF7C85" w:rsidRDefault="00F36C42">
      <w:pPr>
        <w:numPr>
          <w:ilvl w:val="0"/>
          <w:numId w:val="19"/>
        </w:numPr>
        <w:pBdr>
          <w:top w:val="nil"/>
          <w:left w:val="nil"/>
          <w:bottom w:val="nil"/>
          <w:right w:val="nil"/>
          <w:between w:val="nil"/>
        </w:pBdr>
        <w:spacing w:after="0" w:line="276" w:lineRule="auto"/>
        <w:ind w:left="709"/>
        <w:jc w:val="both"/>
        <w:rPr>
          <w:rFonts w:cstheme="minorHAnsi"/>
        </w:rPr>
      </w:pPr>
      <w:r w:rsidRPr="00DF7C85">
        <w:rPr>
          <w:rFonts w:cstheme="minorHAnsi"/>
          <w:color w:val="000000"/>
        </w:rPr>
        <w:t>Dobrowolski LC, Bemelman FJ, Ten Berge IJ, van den Born BJ, Reekers JA, Krediet CT. Renal denervation of the native kidneys for drug-resistant hypertension after kidney transplantation. Clin Kidney J. 2015; 8: 79–81</w:t>
      </w:r>
    </w:p>
    <w:p w14:paraId="2A4A52C9" w14:textId="77777777" w:rsidR="00F36C42" w:rsidRPr="00DF7C85" w:rsidRDefault="00F36C42">
      <w:pPr>
        <w:numPr>
          <w:ilvl w:val="0"/>
          <w:numId w:val="19"/>
        </w:numPr>
        <w:pBdr>
          <w:top w:val="nil"/>
          <w:left w:val="nil"/>
          <w:bottom w:val="nil"/>
          <w:right w:val="nil"/>
          <w:between w:val="nil"/>
        </w:pBdr>
        <w:spacing w:after="0" w:line="276" w:lineRule="auto"/>
        <w:ind w:left="709"/>
        <w:jc w:val="both"/>
        <w:rPr>
          <w:rFonts w:cstheme="minorHAnsi"/>
        </w:rPr>
      </w:pPr>
      <w:r w:rsidRPr="00DF7C85">
        <w:rPr>
          <w:rFonts w:cstheme="minorHAnsi"/>
          <w:color w:val="000000"/>
        </w:rPr>
        <w:t>Schneider S, Promny D, Sinnecker D, Byrne RA, Muller A, Dommasch M, Wildenauer A, Schmidt G, Heemann U, Laugwitz KL, Baumann M. Impact of sympathetic renal denervation: a randomized study in patients after renal transplantation (ISAR-denerve).  Nephrology Dialysis Transplantation. 2015; 30 (11): 1928-36</w:t>
      </w:r>
    </w:p>
    <w:p w14:paraId="0056A0D8" w14:textId="77777777" w:rsidR="00F36C42" w:rsidRPr="00DF7C85" w:rsidRDefault="00F36C42">
      <w:pPr>
        <w:numPr>
          <w:ilvl w:val="0"/>
          <w:numId w:val="19"/>
        </w:numPr>
        <w:pBdr>
          <w:top w:val="nil"/>
          <w:left w:val="nil"/>
          <w:bottom w:val="nil"/>
          <w:right w:val="nil"/>
          <w:between w:val="nil"/>
        </w:pBdr>
        <w:spacing w:after="0" w:line="276" w:lineRule="auto"/>
        <w:ind w:left="709"/>
        <w:jc w:val="both"/>
        <w:rPr>
          <w:rFonts w:cstheme="minorHAnsi"/>
        </w:rPr>
      </w:pPr>
      <w:r w:rsidRPr="00DF7C85">
        <w:rPr>
          <w:rFonts w:cstheme="minorHAnsi"/>
          <w:color w:val="222222"/>
          <w:highlight w:val="white"/>
        </w:rPr>
        <w:t xml:space="preserve">Wright, J. T. Jr., Whelton, P. K. &amp; Reboussin, D. M. A Randomized Trial of Intensive versus Standard Blood-Pressure Control. </w:t>
      </w:r>
      <w:r w:rsidRPr="00DF7C85">
        <w:rPr>
          <w:rFonts w:cstheme="minorHAnsi"/>
          <w:i/>
          <w:color w:val="222222"/>
          <w:highlight w:val="white"/>
        </w:rPr>
        <w:t>N Engl J Med</w:t>
      </w:r>
      <w:r w:rsidRPr="00DF7C85">
        <w:rPr>
          <w:rFonts w:cstheme="minorHAnsi"/>
          <w:color w:val="222222"/>
          <w:highlight w:val="white"/>
        </w:rPr>
        <w:t xml:space="preserve"> </w:t>
      </w:r>
      <w:r w:rsidRPr="00DF7C85">
        <w:rPr>
          <w:rFonts w:cstheme="minorHAnsi"/>
          <w:b/>
          <w:color w:val="222222"/>
          <w:highlight w:val="white"/>
        </w:rPr>
        <w:t>374</w:t>
      </w:r>
      <w:r w:rsidRPr="00DF7C85">
        <w:rPr>
          <w:rFonts w:cstheme="minorHAnsi"/>
          <w:color w:val="222222"/>
          <w:highlight w:val="white"/>
        </w:rPr>
        <w:t xml:space="preserve">, 2294, </w:t>
      </w:r>
      <w:hyperlink r:id="rId54">
        <w:r w:rsidRPr="00DF7C85">
          <w:rPr>
            <w:rFonts w:cstheme="minorHAnsi"/>
            <w:color w:val="006699"/>
            <w:highlight w:val="white"/>
            <w:u w:val="single"/>
          </w:rPr>
          <w:t>https://doi.org/10.1056/NEJMc1602668</w:t>
        </w:r>
      </w:hyperlink>
      <w:r w:rsidRPr="00DF7C85">
        <w:rPr>
          <w:rFonts w:cstheme="minorHAnsi"/>
          <w:color w:val="222222"/>
          <w:highlight w:val="white"/>
        </w:rPr>
        <w:t xml:space="preserve"> (2016)</w:t>
      </w:r>
    </w:p>
    <w:p w14:paraId="16653E4F" w14:textId="77777777" w:rsidR="00F36C42" w:rsidRPr="00DF7C85" w:rsidRDefault="00F36C42">
      <w:pPr>
        <w:numPr>
          <w:ilvl w:val="0"/>
          <w:numId w:val="19"/>
        </w:numPr>
        <w:pBdr>
          <w:top w:val="nil"/>
          <w:left w:val="nil"/>
          <w:bottom w:val="nil"/>
          <w:right w:val="nil"/>
          <w:between w:val="nil"/>
        </w:pBdr>
        <w:spacing w:after="0" w:line="276" w:lineRule="auto"/>
        <w:ind w:left="709"/>
        <w:jc w:val="both"/>
        <w:rPr>
          <w:rFonts w:cstheme="minorHAnsi"/>
        </w:rPr>
      </w:pPr>
      <w:r w:rsidRPr="00DF7C85">
        <w:rPr>
          <w:rFonts w:cstheme="minorHAnsi"/>
          <w:color w:val="000000"/>
        </w:rPr>
        <w:t xml:space="preserve">Whelton PK, Carey RM, Aronow WS, Casey DE, Jr., Collins KJ, Dennison Himmelfarb C. et al. ACC/AHA/AAPA/ABC/ ACPM/AGS/APhA/ASH/ASPC/NMA/PCNA guideline for the prevention, detection, evaluation, and management of high blood pressure in adults: a report of the </w:t>
      </w:r>
      <w:r w:rsidRPr="00DF7C85">
        <w:rPr>
          <w:rFonts w:cstheme="minorHAnsi"/>
          <w:color w:val="000000"/>
        </w:rPr>
        <w:lastRenderedPageBreak/>
        <w:t>American College of Cardiology / American Heart Association task force on clinical practice guidelines. J Am Coll Cardiol. 2018;</w:t>
      </w:r>
      <w:proofErr w:type="gramStart"/>
      <w:r w:rsidRPr="00DF7C85">
        <w:rPr>
          <w:rFonts w:cstheme="minorHAnsi"/>
          <w:color w:val="000000"/>
        </w:rPr>
        <w:t>71:e</w:t>
      </w:r>
      <w:proofErr w:type="gramEnd"/>
      <w:r w:rsidRPr="00DF7C85">
        <w:rPr>
          <w:rFonts w:cstheme="minorHAnsi"/>
          <w:color w:val="000000"/>
        </w:rPr>
        <w:t>127–e248</w:t>
      </w:r>
    </w:p>
    <w:p w14:paraId="45142D40" w14:textId="77777777" w:rsidR="00F36C42" w:rsidRPr="00DF7C85" w:rsidRDefault="00F36C42">
      <w:pPr>
        <w:numPr>
          <w:ilvl w:val="0"/>
          <w:numId w:val="19"/>
        </w:numPr>
        <w:pBdr>
          <w:top w:val="nil"/>
          <w:left w:val="nil"/>
          <w:bottom w:val="nil"/>
          <w:right w:val="nil"/>
          <w:between w:val="nil"/>
        </w:pBdr>
        <w:spacing w:after="0" w:line="276" w:lineRule="auto"/>
        <w:ind w:left="709"/>
        <w:jc w:val="both"/>
        <w:rPr>
          <w:rFonts w:cstheme="minorHAnsi"/>
        </w:rPr>
      </w:pPr>
      <w:r w:rsidRPr="00DF7C85">
        <w:rPr>
          <w:rFonts w:cstheme="minorHAnsi"/>
          <w:color w:val="000000"/>
        </w:rPr>
        <w:t>Kidney Disease: Improving Global Outcomes (KDIGO) Blood Pressure Work Group. KDIGO clinical practice guideline for the management of blood pressure in chronic kidney disease. Kidney Int Volume 99, issue 3S March 2021.</w:t>
      </w:r>
      <w:hyperlink r:id="rId55">
        <w:r w:rsidRPr="00DF7C85">
          <w:rPr>
            <w:rFonts w:cstheme="minorHAnsi"/>
            <w:color w:val="000000"/>
          </w:rPr>
          <w:t xml:space="preserve"> </w:t>
        </w:r>
      </w:hyperlink>
      <w:hyperlink r:id="rId56">
        <w:r w:rsidRPr="00DF7C85">
          <w:rPr>
            <w:rFonts w:cstheme="minorHAnsi"/>
            <w:color w:val="1155CC"/>
            <w:u w:val="single"/>
          </w:rPr>
          <w:t>https://kdigo.org/wp-content/uploads/2016/10/KDIGO-2021-BP-GL.pdf</w:t>
        </w:r>
      </w:hyperlink>
    </w:p>
    <w:p w14:paraId="3218BC36" w14:textId="77777777" w:rsidR="00F36C42" w:rsidRPr="00DF7C85" w:rsidRDefault="00F36C42">
      <w:pPr>
        <w:numPr>
          <w:ilvl w:val="0"/>
          <w:numId w:val="19"/>
        </w:numPr>
        <w:pBdr>
          <w:top w:val="nil"/>
          <w:left w:val="nil"/>
          <w:bottom w:val="nil"/>
          <w:right w:val="nil"/>
          <w:between w:val="nil"/>
        </w:pBdr>
        <w:spacing w:after="0" w:line="276" w:lineRule="auto"/>
        <w:ind w:left="709"/>
        <w:jc w:val="both"/>
        <w:rPr>
          <w:rFonts w:cstheme="minorHAnsi"/>
        </w:rPr>
      </w:pPr>
      <w:r w:rsidRPr="00DF7C85">
        <w:rPr>
          <w:rFonts w:cstheme="minorHAnsi"/>
          <w:color w:val="000000"/>
        </w:rPr>
        <w:t xml:space="preserve">NICE guideline NG203 - chronic kidney disease: assessment and management (Aug 2021). Available at </w:t>
      </w:r>
      <w:hyperlink r:id="rId57">
        <w:r w:rsidRPr="00DF7C85">
          <w:rPr>
            <w:rFonts w:cstheme="minorHAnsi"/>
            <w:color w:val="0000FF"/>
            <w:u w:val="single"/>
          </w:rPr>
          <w:t>https://www.nice.org.uk/guidance/ng203</w:t>
        </w:r>
      </w:hyperlink>
      <w:r w:rsidRPr="00DF7C85">
        <w:rPr>
          <w:rFonts w:cstheme="minorHAnsi"/>
          <w:color w:val="000000"/>
        </w:rPr>
        <w:t xml:space="preserve"> (accessed 18th Jan 2022)</w:t>
      </w:r>
    </w:p>
    <w:p w14:paraId="79F92600" w14:textId="77777777" w:rsidR="00F36C42" w:rsidRPr="00DF7C85" w:rsidRDefault="00F36C42">
      <w:pPr>
        <w:numPr>
          <w:ilvl w:val="0"/>
          <w:numId w:val="19"/>
        </w:numPr>
        <w:pBdr>
          <w:top w:val="nil"/>
          <w:left w:val="nil"/>
          <w:bottom w:val="nil"/>
          <w:right w:val="nil"/>
          <w:between w:val="nil"/>
        </w:pBdr>
        <w:spacing w:after="0" w:line="276" w:lineRule="auto"/>
        <w:ind w:left="709"/>
        <w:jc w:val="both"/>
        <w:rPr>
          <w:rFonts w:cstheme="minorHAnsi"/>
        </w:rPr>
      </w:pPr>
      <w:r w:rsidRPr="00FB4C77">
        <w:rPr>
          <w:rFonts w:cstheme="minorHAnsi"/>
          <w:color w:val="000000"/>
          <w:lang w:val="it-IT"/>
        </w:rPr>
        <w:t xml:space="preserve">Pisano A, Bolignano D, Mallamaci Fet al.  </w:t>
      </w:r>
      <w:r w:rsidRPr="00DF7C85">
        <w:rPr>
          <w:rFonts w:cstheme="minorHAnsi"/>
          <w:color w:val="000000"/>
        </w:rPr>
        <w:t>Comparative effectiveness of different antihypertensive agents in kidney transplantation: a systematic review and meta-analysis. Nephrol Dial Transplant. 2020 May 1;35(5):878-887</w:t>
      </w:r>
    </w:p>
    <w:p w14:paraId="6633CBA7" w14:textId="77777777" w:rsidR="00F36C42" w:rsidRPr="00DF7C85" w:rsidRDefault="00F36C42">
      <w:pPr>
        <w:numPr>
          <w:ilvl w:val="0"/>
          <w:numId w:val="19"/>
        </w:numPr>
        <w:pBdr>
          <w:top w:val="nil"/>
          <w:left w:val="nil"/>
          <w:bottom w:val="nil"/>
          <w:right w:val="nil"/>
          <w:between w:val="nil"/>
        </w:pBdr>
        <w:spacing w:after="0" w:line="276" w:lineRule="auto"/>
        <w:ind w:left="709"/>
        <w:jc w:val="both"/>
        <w:rPr>
          <w:rFonts w:cstheme="minorHAnsi"/>
        </w:rPr>
      </w:pPr>
      <w:r w:rsidRPr="00FB4C77">
        <w:rPr>
          <w:rFonts w:cstheme="minorHAnsi"/>
          <w:color w:val="000000"/>
          <w:lang w:val="it-IT"/>
        </w:rPr>
        <w:t xml:space="preserve">Paoletti E, Bellino D, Marsano L et al. </w:t>
      </w:r>
      <w:r w:rsidRPr="00DF7C85">
        <w:rPr>
          <w:rFonts w:cstheme="minorHAnsi"/>
          <w:color w:val="000000"/>
        </w:rPr>
        <w:t>Effects of ACE inhibitors on longterm outcome of renal transplant recipients. A randomized controlled trial. Transplantation 2013; 95: 889–895</w:t>
      </w:r>
    </w:p>
    <w:p w14:paraId="6C18B708" w14:textId="77777777" w:rsidR="00F36C42" w:rsidRPr="00DF7C85" w:rsidRDefault="00F36C42">
      <w:pPr>
        <w:numPr>
          <w:ilvl w:val="0"/>
          <w:numId w:val="19"/>
        </w:numPr>
        <w:pBdr>
          <w:top w:val="nil"/>
          <w:left w:val="nil"/>
          <w:bottom w:val="nil"/>
          <w:right w:val="nil"/>
          <w:between w:val="nil"/>
        </w:pBdr>
        <w:spacing w:after="0" w:line="276" w:lineRule="auto"/>
        <w:ind w:left="709"/>
        <w:jc w:val="both"/>
        <w:rPr>
          <w:rFonts w:cstheme="minorHAnsi"/>
        </w:rPr>
      </w:pPr>
      <w:r w:rsidRPr="00DF7C85">
        <w:rPr>
          <w:rFonts w:cstheme="minorHAnsi"/>
          <w:color w:val="000000"/>
        </w:rPr>
        <w:t>Mandelbrot DA, Alberu J, Barama A et al. Effect of ramipril on urinary protein excretion in maintenance renal transplant patients converted to sirolimus. Am J Transplant 2015; 15: 3174–3184</w:t>
      </w:r>
    </w:p>
    <w:p w14:paraId="0B32A74B" w14:textId="77777777" w:rsidR="00F36C42" w:rsidRPr="00DF7C85" w:rsidRDefault="00F36C42">
      <w:pPr>
        <w:numPr>
          <w:ilvl w:val="0"/>
          <w:numId w:val="19"/>
        </w:numPr>
        <w:pBdr>
          <w:top w:val="nil"/>
          <w:left w:val="nil"/>
          <w:bottom w:val="nil"/>
          <w:right w:val="nil"/>
          <w:between w:val="nil"/>
        </w:pBdr>
        <w:spacing w:after="0" w:line="276" w:lineRule="auto"/>
        <w:ind w:left="709"/>
        <w:jc w:val="both"/>
        <w:rPr>
          <w:rFonts w:cstheme="minorHAnsi"/>
        </w:rPr>
      </w:pPr>
      <w:r w:rsidRPr="00FB4C77">
        <w:rPr>
          <w:rFonts w:cstheme="minorHAnsi"/>
          <w:color w:val="000000"/>
          <w:lang w:val="pt-BR"/>
        </w:rPr>
        <w:t xml:space="preserve">Hiremath S, Fergusson DA, Fergusson N et al. </w:t>
      </w:r>
      <w:r w:rsidRPr="00DF7C85">
        <w:rPr>
          <w:rFonts w:cstheme="minorHAnsi"/>
          <w:color w:val="000000"/>
        </w:rPr>
        <w:t>Renin-angiotensin system blockade and long-term clinical outcomes in kidney transplant recipients: a meta-analysis of randomized controlled trials. Am J Kidney Dis 2017; 69: 78–86</w:t>
      </w:r>
    </w:p>
    <w:p w14:paraId="3148A59D" w14:textId="2DE7EA28" w:rsidR="00F36C42" w:rsidRPr="00DF7C85" w:rsidRDefault="00F36C42">
      <w:pPr>
        <w:numPr>
          <w:ilvl w:val="0"/>
          <w:numId w:val="19"/>
        </w:numPr>
        <w:pBdr>
          <w:top w:val="nil"/>
          <w:left w:val="nil"/>
          <w:bottom w:val="nil"/>
          <w:right w:val="nil"/>
          <w:between w:val="nil"/>
        </w:pBdr>
        <w:spacing w:after="0" w:line="276" w:lineRule="auto"/>
        <w:ind w:left="709"/>
        <w:jc w:val="both"/>
        <w:rPr>
          <w:rFonts w:cstheme="minorHAnsi"/>
        </w:rPr>
      </w:pPr>
      <w:r w:rsidRPr="00DF7C85">
        <w:rPr>
          <w:rFonts w:cstheme="minorHAnsi"/>
          <w:color w:val="000000"/>
        </w:rPr>
        <w:t>Cross NB,</w:t>
      </w:r>
      <w:r w:rsidR="00C446C7">
        <w:rPr>
          <w:rFonts w:cstheme="minorHAnsi"/>
          <w:color w:val="000000"/>
        </w:rPr>
        <w:t xml:space="preserve"> </w:t>
      </w:r>
      <w:r w:rsidRPr="00DF7C85">
        <w:rPr>
          <w:rFonts w:cstheme="minorHAnsi"/>
          <w:color w:val="000000"/>
        </w:rPr>
        <w:t>Webster AC,</w:t>
      </w:r>
      <w:r w:rsidR="00C446C7">
        <w:rPr>
          <w:rFonts w:cstheme="minorHAnsi"/>
          <w:color w:val="000000"/>
        </w:rPr>
        <w:t xml:space="preserve"> </w:t>
      </w:r>
      <w:r w:rsidRPr="00DF7C85">
        <w:rPr>
          <w:rFonts w:cstheme="minorHAnsi"/>
          <w:color w:val="000000"/>
        </w:rPr>
        <w:t>Masson P et al. Antihypertensive treatment for kidney transplant recipients. Cochrane Database Syst Rev 2009; 3: CD00359</w:t>
      </w:r>
    </w:p>
    <w:p w14:paraId="4B0648CF" w14:textId="77777777" w:rsidR="00F36C42" w:rsidRPr="00DF7C85" w:rsidRDefault="00F36C42">
      <w:pPr>
        <w:numPr>
          <w:ilvl w:val="0"/>
          <w:numId w:val="19"/>
        </w:numPr>
        <w:pBdr>
          <w:top w:val="nil"/>
          <w:left w:val="nil"/>
          <w:bottom w:val="nil"/>
          <w:right w:val="nil"/>
          <w:between w:val="nil"/>
        </w:pBdr>
        <w:spacing w:after="0" w:line="276" w:lineRule="auto"/>
        <w:ind w:left="709"/>
        <w:jc w:val="both"/>
        <w:rPr>
          <w:rFonts w:cstheme="minorHAnsi"/>
        </w:rPr>
      </w:pPr>
      <w:r w:rsidRPr="00DF7C85">
        <w:rPr>
          <w:rFonts w:cstheme="minorHAnsi"/>
          <w:color w:val="000000"/>
        </w:rPr>
        <w:t>Hiremath S, Fergusson D, Doucette S et al. Renin angiotensin system blockade in kidney transplantation: a systematic review of the evidence. Am J Transplant 2007; 7: 2350–2360</w:t>
      </w:r>
    </w:p>
    <w:p w14:paraId="4B23FFB2" w14:textId="5AF52BC1" w:rsidR="00F36C42" w:rsidRPr="00DF7C85" w:rsidRDefault="00F36C42">
      <w:pPr>
        <w:numPr>
          <w:ilvl w:val="0"/>
          <w:numId w:val="19"/>
        </w:numPr>
        <w:pBdr>
          <w:top w:val="nil"/>
          <w:left w:val="nil"/>
          <w:bottom w:val="nil"/>
          <w:right w:val="nil"/>
          <w:between w:val="nil"/>
        </w:pBdr>
        <w:spacing w:after="0" w:line="276" w:lineRule="auto"/>
        <w:ind w:left="709"/>
        <w:jc w:val="both"/>
        <w:rPr>
          <w:rFonts w:cstheme="minorHAnsi"/>
        </w:rPr>
      </w:pPr>
      <w:r w:rsidRPr="00FB4C77">
        <w:rPr>
          <w:rFonts w:cstheme="minorHAnsi"/>
          <w:color w:val="000000"/>
          <w:lang w:val="pl-PL"/>
        </w:rPr>
        <w:t xml:space="preserve">Kuzmiuk-Glembin I, Adrych D, Tylicki L et al. </w:t>
      </w:r>
      <w:r w:rsidRPr="00DF7C85">
        <w:rPr>
          <w:rFonts w:cstheme="minorHAnsi"/>
          <w:color w:val="000000"/>
        </w:rPr>
        <w:t>Treatment of hypertension in renal transplant recipients in four independent cross-sectional analyses. Kidney Blood Press Res 2018; 43: 45–54</w:t>
      </w:r>
    </w:p>
    <w:p w14:paraId="3F1528FB" w14:textId="77777777" w:rsidR="00F36C42" w:rsidRPr="00DF7C85" w:rsidRDefault="00F36C42">
      <w:pPr>
        <w:numPr>
          <w:ilvl w:val="0"/>
          <w:numId w:val="19"/>
        </w:numPr>
        <w:pBdr>
          <w:top w:val="nil"/>
          <w:left w:val="nil"/>
          <w:bottom w:val="nil"/>
          <w:right w:val="nil"/>
          <w:between w:val="nil"/>
        </w:pBdr>
        <w:spacing w:after="0" w:line="276" w:lineRule="auto"/>
        <w:ind w:left="709"/>
        <w:jc w:val="both"/>
        <w:rPr>
          <w:rFonts w:cstheme="minorHAnsi"/>
        </w:rPr>
      </w:pPr>
      <w:r w:rsidRPr="00DF7C85">
        <w:rPr>
          <w:rFonts w:cstheme="minorHAnsi"/>
          <w:color w:val="000000"/>
        </w:rPr>
        <w:t>AftabW, Varadarajan P, Rasool S et al. Beta and angiotensin blockades are associated with improved 10-year survival in renal transplant recipients. J Am Heart Assoc 2013; 2: e000091</w:t>
      </w:r>
    </w:p>
    <w:p w14:paraId="29D1EC71" w14:textId="77777777" w:rsidR="00F36C42" w:rsidRPr="00DF7C85" w:rsidRDefault="00F36C42">
      <w:pPr>
        <w:numPr>
          <w:ilvl w:val="0"/>
          <w:numId w:val="19"/>
        </w:numPr>
        <w:pBdr>
          <w:top w:val="nil"/>
          <w:left w:val="nil"/>
          <w:bottom w:val="nil"/>
          <w:right w:val="nil"/>
          <w:between w:val="nil"/>
        </w:pBdr>
        <w:spacing w:after="0" w:line="276" w:lineRule="auto"/>
        <w:ind w:left="709"/>
        <w:jc w:val="both"/>
        <w:rPr>
          <w:rFonts w:cstheme="minorHAnsi"/>
        </w:rPr>
      </w:pPr>
      <w:r w:rsidRPr="00FB4C77">
        <w:rPr>
          <w:rFonts w:cstheme="minorHAnsi"/>
          <w:color w:val="000000"/>
          <w:lang w:val="nb-NO"/>
        </w:rPr>
        <w:t xml:space="preserve">Suwelack B, Kobelt V, Erfmann M et al. </w:t>
      </w:r>
      <w:r w:rsidRPr="00DF7C85">
        <w:rPr>
          <w:rFonts w:cstheme="minorHAnsi"/>
          <w:color w:val="000000"/>
        </w:rPr>
        <w:t>Long-term follow-up of ACE inhibitor versus beta-blocker treatment and their effects on blood pressure and kidney function in renal transplant recipients. Transplant Int 2003; 16: 313–320</w:t>
      </w:r>
    </w:p>
    <w:p w14:paraId="75687AEC" w14:textId="77777777" w:rsidR="00F36C42" w:rsidRPr="00DF7C85" w:rsidRDefault="00F36C42">
      <w:pPr>
        <w:numPr>
          <w:ilvl w:val="0"/>
          <w:numId w:val="19"/>
        </w:numPr>
        <w:pBdr>
          <w:top w:val="nil"/>
          <w:left w:val="nil"/>
          <w:bottom w:val="nil"/>
          <w:right w:val="nil"/>
          <w:between w:val="nil"/>
        </w:pBdr>
        <w:spacing w:after="0" w:line="276" w:lineRule="auto"/>
        <w:ind w:left="709"/>
        <w:jc w:val="both"/>
        <w:rPr>
          <w:rFonts w:cstheme="minorHAnsi"/>
        </w:rPr>
      </w:pPr>
      <w:r w:rsidRPr="00FB4C77">
        <w:rPr>
          <w:rFonts w:cstheme="minorHAnsi"/>
          <w:color w:val="000000"/>
          <w:lang w:val="pl-PL"/>
        </w:rPr>
        <w:t xml:space="preserve">Tylicki L, Biedunkiewicz B, Chamienia A et al. </w:t>
      </w:r>
      <w:r w:rsidRPr="00DF7C85">
        <w:rPr>
          <w:rFonts w:cstheme="minorHAnsi"/>
          <w:color w:val="000000"/>
        </w:rPr>
        <w:t>Randomized placebo-controlled study on the effects of losartan and carvedilol on albuminuria in renal transplant recipients. Transplantation 2006; 81: 52–56</w:t>
      </w:r>
    </w:p>
    <w:p w14:paraId="4440A1B3" w14:textId="77777777" w:rsidR="00F36C42" w:rsidRPr="00DF7C85" w:rsidRDefault="00F36C42">
      <w:pPr>
        <w:numPr>
          <w:ilvl w:val="0"/>
          <w:numId w:val="19"/>
        </w:numPr>
        <w:pBdr>
          <w:top w:val="nil"/>
          <w:left w:val="nil"/>
          <w:bottom w:val="nil"/>
          <w:right w:val="nil"/>
          <w:between w:val="nil"/>
        </w:pBdr>
        <w:spacing w:after="0" w:line="276" w:lineRule="auto"/>
        <w:ind w:left="709"/>
        <w:jc w:val="both"/>
        <w:rPr>
          <w:rFonts w:cstheme="minorHAnsi"/>
        </w:rPr>
      </w:pPr>
      <w:r w:rsidRPr="00DF7C85">
        <w:rPr>
          <w:rFonts w:cstheme="minorHAnsi"/>
          <w:color w:val="000000"/>
        </w:rPr>
        <w:t>Holdaas, H.; Fellström, B.; Jardine, A. G.; Holme, I.; Nyberg, G.; Fauchald, P.; Grönhagen-Riska, C.; Madsen, S.; Neumayer, H.; Cole, E.; Maes, B.; Ambühl, P.; Olsson, A. G.; Hartmann, A.; Solbu, D. O.; Pedersen, T. R. Effect of fluvastatin on cardiac outcomes in renal transplant recipients: a multicentre, randomised, placebo-controlled trial. Lancet 2003, 361, 2024-2031.</w:t>
      </w:r>
    </w:p>
    <w:p w14:paraId="7E883481" w14:textId="77777777" w:rsidR="00F36C42" w:rsidRPr="00DF7C85" w:rsidRDefault="00F36C42">
      <w:pPr>
        <w:numPr>
          <w:ilvl w:val="0"/>
          <w:numId w:val="19"/>
        </w:numPr>
        <w:pBdr>
          <w:top w:val="nil"/>
          <w:left w:val="nil"/>
          <w:bottom w:val="nil"/>
          <w:right w:val="nil"/>
          <w:between w:val="nil"/>
        </w:pBdr>
        <w:spacing w:after="0" w:line="276" w:lineRule="auto"/>
        <w:ind w:left="709"/>
        <w:jc w:val="both"/>
        <w:rPr>
          <w:rFonts w:cstheme="minorHAnsi"/>
        </w:rPr>
      </w:pPr>
      <w:r w:rsidRPr="00DF7C85">
        <w:rPr>
          <w:rFonts w:cstheme="minorHAnsi"/>
          <w:color w:val="000000"/>
        </w:rPr>
        <w:t>Holdaas, H.; Fellström, B.; Cole, E.; Nyberg, G.; Olsson, A. G.; Pedersen, T. R.; Madsen, S.; Grönhagen-Riska, C.; Neumayer, H. -.; Maes, B.; Ambühl, P.; Hartmann, A.; Staffler, B.; Jardine, A. G. Long-term cardiac outcomes in renal transplant recipients receiving fluvastatin: the ALERT extension study. Am. J. Transplant. 2005, 5, 2929-2936.</w:t>
      </w:r>
    </w:p>
    <w:p w14:paraId="4A5328F5" w14:textId="77777777" w:rsidR="00F36C42" w:rsidRPr="00DF7C85" w:rsidRDefault="00F36C42">
      <w:pPr>
        <w:numPr>
          <w:ilvl w:val="0"/>
          <w:numId w:val="19"/>
        </w:numPr>
        <w:pBdr>
          <w:top w:val="nil"/>
          <w:left w:val="nil"/>
          <w:bottom w:val="nil"/>
          <w:right w:val="nil"/>
          <w:between w:val="nil"/>
        </w:pBdr>
        <w:spacing w:after="0" w:line="276" w:lineRule="auto"/>
        <w:ind w:left="709"/>
        <w:jc w:val="both"/>
        <w:rPr>
          <w:rFonts w:cstheme="minorHAnsi"/>
        </w:rPr>
      </w:pPr>
      <w:r w:rsidRPr="00DF7C85">
        <w:rPr>
          <w:rFonts w:cstheme="minorHAnsi"/>
          <w:color w:val="000000"/>
        </w:rPr>
        <w:t xml:space="preserve">Jardine, A. G.; Fellström, B.; Logan, J. O.; Cole, E.; Nyberg, G.; Grönhagen-Riska, C.; Madsen, S.; Neumayer, H.; Maes, B.; Ambühl, P.; Olsson, A. G.; Pedersen, T.; Holdaas, H. Cardiovascular </w:t>
      </w:r>
      <w:r w:rsidRPr="00DF7C85">
        <w:rPr>
          <w:rFonts w:cstheme="minorHAnsi"/>
          <w:color w:val="000000"/>
        </w:rPr>
        <w:lastRenderedPageBreak/>
        <w:t xml:space="preserve">risk and renal transplantation: post hoc analyses of the Assessment of Lescol in Renal Transplantation (ALERT) Study. Am. J. Kidney Dis. 2005, 46, 529-536. </w:t>
      </w:r>
    </w:p>
    <w:p w14:paraId="73570EA6" w14:textId="77777777" w:rsidR="00F36C42" w:rsidRPr="00DF7C85" w:rsidRDefault="00F36C42">
      <w:pPr>
        <w:numPr>
          <w:ilvl w:val="0"/>
          <w:numId w:val="19"/>
        </w:numPr>
        <w:pBdr>
          <w:top w:val="nil"/>
          <w:left w:val="nil"/>
          <w:bottom w:val="nil"/>
          <w:right w:val="nil"/>
          <w:between w:val="nil"/>
        </w:pBdr>
        <w:spacing w:after="0" w:line="276" w:lineRule="auto"/>
        <w:ind w:left="709"/>
        <w:jc w:val="both"/>
        <w:rPr>
          <w:rFonts w:cstheme="minorHAnsi"/>
        </w:rPr>
      </w:pPr>
      <w:r w:rsidRPr="00DF7C85">
        <w:rPr>
          <w:rFonts w:cstheme="minorHAnsi"/>
          <w:color w:val="000000"/>
        </w:rPr>
        <w:t>Palmer, S. C.; Navaneethan, S. D.; Craig, J. C.; Perkovic, V.; Johnson, D. W.; Nigwekar, S. U.; Hegbrant, J.; Strippoli, G. F. HMG CoA reductase inhibitors (statins) for kidney transplant recipients. Cochrane Database Syst Rev 2014, CD005019.</w:t>
      </w:r>
    </w:p>
    <w:p w14:paraId="6DD9F9BA" w14:textId="77777777" w:rsidR="00F36C42" w:rsidRPr="00DF7C85" w:rsidRDefault="00F36C42">
      <w:pPr>
        <w:numPr>
          <w:ilvl w:val="0"/>
          <w:numId w:val="19"/>
        </w:numPr>
        <w:pBdr>
          <w:top w:val="nil"/>
          <w:left w:val="nil"/>
          <w:bottom w:val="nil"/>
          <w:right w:val="nil"/>
          <w:between w:val="nil"/>
        </w:pBdr>
        <w:spacing w:after="0" w:line="276" w:lineRule="auto"/>
        <w:ind w:left="709"/>
        <w:jc w:val="both"/>
        <w:rPr>
          <w:rFonts w:cstheme="minorHAnsi"/>
        </w:rPr>
      </w:pPr>
      <w:r w:rsidRPr="00DF7C85">
        <w:rPr>
          <w:rFonts w:cstheme="minorHAnsi"/>
          <w:color w:val="000000"/>
        </w:rPr>
        <w:t xml:space="preserve">Association of British Clinical Diabetologists and The Renal Association. Managing hyperglycaemia in people with diabetes and chronic kidney disease. London: ABCD, 2021. </w:t>
      </w:r>
    </w:p>
    <w:p w14:paraId="5E4E457C" w14:textId="77777777" w:rsidR="00F36C42" w:rsidRPr="00DF7C85" w:rsidRDefault="00F36C42" w:rsidP="00217066">
      <w:pPr>
        <w:pBdr>
          <w:top w:val="nil"/>
          <w:left w:val="nil"/>
          <w:bottom w:val="nil"/>
          <w:right w:val="nil"/>
          <w:between w:val="nil"/>
        </w:pBdr>
        <w:ind w:left="709"/>
        <w:jc w:val="both"/>
        <w:rPr>
          <w:rFonts w:cstheme="minorHAnsi"/>
          <w:color w:val="000000"/>
        </w:rPr>
      </w:pPr>
      <w:bookmarkStart w:id="108" w:name="_gjdgxs" w:colFirst="0" w:colLast="0"/>
      <w:bookmarkEnd w:id="108"/>
      <w:r w:rsidRPr="00DF7C85">
        <w:rPr>
          <w:rFonts w:cstheme="minorHAnsi"/>
          <w:color w:val="000000"/>
        </w:rPr>
        <w:t xml:space="preserve">Available at </w:t>
      </w:r>
      <w:hyperlink r:id="rId58">
        <w:r w:rsidRPr="00DF7C85">
          <w:rPr>
            <w:rFonts w:cstheme="minorHAnsi"/>
            <w:color w:val="0000FF"/>
            <w:u w:val="single"/>
          </w:rPr>
          <w:t>https://abcd.care/sites/abcd.care/files/site_uploads/Resources/Position-Papers/Management-of-hyperglycaemia-in-adults%20-with-DKD.pdf</w:t>
        </w:r>
      </w:hyperlink>
      <w:r w:rsidRPr="00DF7C85">
        <w:rPr>
          <w:rFonts w:cstheme="minorHAnsi"/>
          <w:color w:val="000000"/>
        </w:rPr>
        <w:t xml:space="preserve"> (accessed 18</w:t>
      </w:r>
      <w:r w:rsidRPr="00DF7C85">
        <w:rPr>
          <w:rFonts w:cstheme="minorHAnsi"/>
          <w:color w:val="000000"/>
          <w:vertAlign w:val="superscript"/>
        </w:rPr>
        <w:t>th</w:t>
      </w:r>
      <w:r w:rsidRPr="00DF7C85">
        <w:rPr>
          <w:rFonts w:cstheme="minorHAnsi"/>
          <w:color w:val="000000"/>
        </w:rPr>
        <w:t xml:space="preserve"> Jan 2022)</w:t>
      </w:r>
    </w:p>
    <w:p w14:paraId="7BCC9C0E" w14:textId="77777777" w:rsidR="00F36C42" w:rsidRPr="00DF7C85" w:rsidRDefault="00F36C42">
      <w:pPr>
        <w:numPr>
          <w:ilvl w:val="0"/>
          <w:numId w:val="19"/>
        </w:numPr>
        <w:pBdr>
          <w:top w:val="nil"/>
          <w:left w:val="nil"/>
          <w:bottom w:val="nil"/>
          <w:right w:val="nil"/>
          <w:between w:val="nil"/>
        </w:pBdr>
        <w:spacing w:after="0" w:line="276" w:lineRule="auto"/>
        <w:ind w:left="709"/>
        <w:jc w:val="both"/>
        <w:rPr>
          <w:rFonts w:cstheme="minorHAnsi"/>
        </w:rPr>
      </w:pPr>
      <w:r w:rsidRPr="00DF7C85">
        <w:rPr>
          <w:rFonts w:cstheme="minorHAnsi"/>
          <w:color w:val="000000"/>
        </w:rPr>
        <w:t xml:space="preserve">Association of British Clinical Diabetologists and The Renal Association. Clinical practice guidelines for management of lipids in adults with diabetic kidney disease. London: ABCD, 2021. </w:t>
      </w:r>
    </w:p>
    <w:p w14:paraId="738BC882" w14:textId="77777777" w:rsidR="00F36C42" w:rsidRPr="00DF7C85" w:rsidRDefault="00F36C42" w:rsidP="00217066">
      <w:pPr>
        <w:pBdr>
          <w:top w:val="nil"/>
          <w:left w:val="nil"/>
          <w:bottom w:val="nil"/>
          <w:right w:val="nil"/>
          <w:between w:val="nil"/>
        </w:pBdr>
        <w:ind w:left="709"/>
        <w:jc w:val="both"/>
        <w:rPr>
          <w:rFonts w:cstheme="minorHAnsi"/>
          <w:color w:val="000000"/>
        </w:rPr>
      </w:pPr>
      <w:r w:rsidRPr="00DF7C85">
        <w:rPr>
          <w:rFonts w:cstheme="minorHAnsi"/>
          <w:color w:val="000000"/>
        </w:rPr>
        <w:t xml:space="preserve">Available at </w:t>
      </w:r>
      <w:hyperlink r:id="rId59">
        <w:r w:rsidRPr="00DF7C85">
          <w:rPr>
            <w:rFonts w:cstheme="minorHAnsi"/>
            <w:color w:val="0000FF"/>
            <w:u w:val="single"/>
          </w:rPr>
          <w:t>https://abcd.care/sites/abcd.care/files/site_uploads/Resources/Position-Papers/Management-of-lipids-in%20adults-with-DKD.pdf</w:t>
        </w:r>
      </w:hyperlink>
      <w:r w:rsidRPr="00DF7C85">
        <w:rPr>
          <w:rFonts w:cstheme="minorHAnsi"/>
          <w:color w:val="000000"/>
        </w:rPr>
        <w:t xml:space="preserve"> (accessed 18</w:t>
      </w:r>
      <w:r w:rsidRPr="00DF7C85">
        <w:rPr>
          <w:rFonts w:cstheme="minorHAnsi"/>
          <w:color w:val="000000"/>
          <w:vertAlign w:val="superscript"/>
        </w:rPr>
        <w:t>th</w:t>
      </w:r>
      <w:r w:rsidRPr="00DF7C85">
        <w:rPr>
          <w:rFonts w:cstheme="minorHAnsi"/>
          <w:color w:val="000000"/>
        </w:rPr>
        <w:t xml:space="preserve"> Jan 2022)</w:t>
      </w:r>
    </w:p>
    <w:p w14:paraId="54981424" w14:textId="77777777" w:rsidR="00F36C42" w:rsidRPr="00DF7C85" w:rsidRDefault="00F36C42">
      <w:pPr>
        <w:numPr>
          <w:ilvl w:val="0"/>
          <w:numId w:val="19"/>
        </w:numPr>
        <w:pBdr>
          <w:top w:val="nil"/>
          <w:left w:val="nil"/>
          <w:bottom w:val="nil"/>
          <w:right w:val="nil"/>
          <w:between w:val="nil"/>
        </w:pBdr>
        <w:spacing w:after="0" w:line="276" w:lineRule="auto"/>
        <w:ind w:left="709"/>
        <w:jc w:val="both"/>
        <w:rPr>
          <w:rFonts w:cstheme="minorHAnsi"/>
        </w:rPr>
      </w:pPr>
      <w:r w:rsidRPr="00DF7C85">
        <w:rPr>
          <w:rFonts w:cstheme="minorHAnsi"/>
          <w:color w:val="000000"/>
        </w:rPr>
        <w:t xml:space="preserve">Association of British Clinical Diabetologists and The Renal Association. Guidelines on the detection and management of diabetes post solid-organ transplantation. London: ABCD, 2021. </w:t>
      </w:r>
    </w:p>
    <w:p w14:paraId="69499F17" w14:textId="77777777" w:rsidR="00F36C42" w:rsidRPr="00DF7C85" w:rsidRDefault="00F36C42" w:rsidP="00217066">
      <w:pPr>
        <w:pBdr>
          <w:top w:val="nil"/>
          <w:left w:val="nil"/>
          <w:bottom w:val="nil"/>
          <w:right w:val="nil"/>
          <w:between w:val="nil"/>
        </w:pBdr>
        <w:spacing w:after="240"/>
        <w:ind w:left="709"/>
        <w:jc w:val="both"/>
        <w:rPr>
          <w:rFonts w:cstheme="minorHAnsi"/>
          <w:color w:val="000000"/>
        </w:rPr>
      </w:pPr>
      <w:r w:rsidRPr="00DF7C85">
        <w:rPr>
          <w:rFonts w:cstheme="minorHAnsi"/>
          <w:color w:val="000000"/>
        </w:rPr>
        <w:t xml:space="preserve">Available at </w:t>
      </w:r>
      <w:hyperlink r:id="rId60">
        <w:r w:rsidRPr="00DF7C85">
          <w:rPr>
            <w:rFonts w:cstheme="minorHAnsi"/>
            <w:color w:val="0000FF"/>
            <w:u w:val="single"/>
          </w:rPr>
          <w:t>https://abcd.care/sites/abcd.care/files/site_uploads/Resources/Position-Papers/ABCD-RA-PTDM-v14.pdf</w:t>
        </w:r>
      </w:hyperlink>
      <w:r w:rsidRPr="00DF7C85">
        <w:rPr>
          <w:rFonts w:cstheme="minorHAnsi"/>
          <w:color w:val="000000"/>
        </w:rPr>
        <w:t xml:space="preserve"> (accessed 18th Jan 2022)</w:t>
      </w:r>
    </w:p>
    <w:p w14:paraId="5EE7C9FC" w14:textId="68A84F89" w:rsidR="00F36C42" w:rsidRDefault="00F36C42" w:rsidP="00217066">
      <w:pPr>
        <w:pStyle w:val="Heading1"/>
      </w:pPr>
      <w:r w:rsidRPr="00DF7C85">
        <w:rPr>
          <w:rFonts w:cstheme="minorHAnsi"/>
          <w:color w:val="0000FF"/>
        </w:rPr>
        <w:t xml:space="preserve"> </w:t>
      </w:r>
      <w:r w:rsidRPr="00DF7C85">
        <w:rPr>
          <w:rFonts w:asciiTheme="minorHAnsi" w:hAnsiTheme="minorHAnsi" w:cstheme="minorHAnsi"/>
        </w:rPr>
        <w:t xml:space="preserve"> </w:t>
      </w:r>
      <w:bookmarkStart w:id="109" w:name="_Toc128330014"/>
      <w:r>
        <w:t>8 COMPLICATIONS OF CHRONIC KIDNEY DISEASE</w:t>
      </w:r>
      <w:bookmarkEnd w:id="109"/>
    </w:p>
    <w:p w14:paraId="7D3CBEEE" w14:textId="77777777" w:rsidR="00F36C42" w:rsidRPr="0016371F" w:rsidRDefault="00F36C42" w:rsidP="00F36C42">
      <w:pPr>
        <w:pStyle w:val="Heading2"/>
        <w:spacing w:before="0" w:after="160" w:line="276" w:lineRule="auto"/>
        <w:jc w:val="both"/>
        <w:rPr>
          <w:rFonts w:asciiTheme="minorHAnsi" w:eastAsia="Arial" w:hAnsiTheme="minorHAnsi" w:cstheme="minorHAnsi"/>
        </w:rPr>
      </w:pPr>
      <w:bookmarkStart w:id="110" w:name="_Toc128330015"/>
      <w:r w:rsidRPr="0016371F">
        <w:rPr>
          <w:rFonts w:asciiTheme="minorHAnsi" w:eastAsia="Arial" w:hAnsiTheme="minorHAnsi" w:cstheme="minorHAnsi"/>
        </w:rPr>
        <w:t>Statements of Recommendation</w:t>
      </w:r>
      <w:bookmarkEnd w:id="110"/>
    </w:p>
    <w:p w14:paraId="1E75B05E" w14:textId="77777777" w:rsidR="00F36C42" w:rsidRDefault="00F36C42" w:rsidP="0082468C">
      <w:r w:rsidRPr="0016371F">
        <w:t xml:space="preserve">We </w:t>
      </w:r>
      <w:r w:rsidRPr="00F421BB">
        <w:t>recommend that</w:t>
      </w:r>
      <w:r>
        <w:t>:</w:t>
      </w:r>
    </w:p>
    <w:p w14:paraId="23FBBC06" w14:textId="77777777" w:rsidR="00F36C42" w:rsidRDefault="00F36C42" w:rsidP="00346D2E">
      <w:pPr>
        <w:pStyle w:val="ListParagraph"/>
        <w:numPr>
          <w:ilvl w:val="0"/>
          <w:numId w:val="20"/>
        </w:numPr>
      </w:pPr>
      <w:r>
        <w:t xml:space="preserve">Anaemia </w:t>
      </w:r>
      <w:r w:rsidRPr="00F421BB">
        <w:t>should be pro-actively sought in all transplant recipients; management requires accounting for immunosuppression in addition to other causes associated with progressive renal impairment. (</w:t>
      </w:r>
      <w:r w:rsidRPr="00C50D4D">
        <w:t>1C</w:t>
      </w:r>
      <w:r w:rsidRPr="00F421BB">
        <w:t>)</w:t>
      </w:r>
    </w:p>
    <w:p w14:paraId="0B68FCA9" w14:textId="77777777" w:rsidR="00F36C42" w:rsidRPr="00F421BB" w:rsidRDefault="00F36C42" w:rsidP="00346D2E">
      <w:pPr>
        <w:pStyle w:val="ListParagraph"/>
        <w:numPr>
          <w:ilvl w:val="0"/>
          <w:numId w:val="20"/>
        </w:numPr>
      </w:pPr>
      <w:r w:rsidRPr="00F421BB">
        <w:t>Mineral and bone disorder should be treated according to existing KDIGO and NICE guidelines. (</w:t>
      </w:r>
      <w:r w:rsidRPr="00C50D4D">
        <w:t>1C</w:t>
      </w:r>
      <w:r w:rsidRPr="00F421BB">
        <w:t>)</w:t>
      </w:r>
    </w:p>
    <w:p w14:paraId="55B1A800" w14:textId="77777777" w:rsidR="00F36C42" w:rsidRDefault="00F36C42" w:rsidP="0082468C">
      <w:r>
        <w:t>W</w:t>
      </w:r>
      <w:r w:rsidRPr="0016371F">
        <w:t>e suggest that</w:t>
      </w:r>
      <w:r>
        <w:t>:</w:t>
      </w:r>
    </w:p>
    <w:p w14:paraId="1B86E237" w14:textId="77777777" w:rsidR="00F36C42" w:rsidRPr="00F421BB" w:rsidRDefault="00F36C42" w:rsidP="00346D2E">
      <w:pPr>
        <w:pStyle w:val="ListParagraph"/>
        <w:numPr>
          <w:ilvl w:val="0"/>
          <w:numId w:val="22"/>
        </w:numPr>
      </w:pPr>
      <w:r w:rsidRPr="00F421BB">
        <w:t>Serum bicarbonate levels &lt;22mmol/l should be treated by supplementing with oral sodium bicarbonate 500mg three times a day, escalating the dose according to the response. (2C)</w:t>
      </w:r>
    </w:p>
    <w:p w14:paraId="20A12622" w14:textId="6327D9CB" w:rsidR="00F36C42" w:rsidRPr="0016371F" w:rsidRDefault="00F36C42" w:rsidP="00F36C42">
      <w:pPr>
        <w:pStyle w:val="Heading2"/>
        <w:spacing w:before="0" w:after="160" w:line="276" w:lineRule="auto"/>
        <w:jc w:val="both"/>
        <w:rPr>
          <w:rFonts w:asciiTheme="minorHAnsi" w:hAnsiTheme="minorHAnsi" w:cstheme="minorHAnsi"/>
        </w:rPr>
      </w:pPr>
      <w:bookmarkStart w:id="111" w:name="_Toc128330016"/>
      <w:r w:rsidRPr="0016371F">
        <w:rPr>
          <w:rFonts w:asciiTheme="minorHAnsi" w:hAnsiTheme="minorHAnsi" w:cstheme="minorHAnsi"/>
        </w:rPr>
        <w:t>Rationale</w:t>
      </w:r>
      <w:bookmarkEnd w:id="111"/>
    </w:p>
    <w:p w14:paraId="6140AB22" w14:textId="77777777" w:rsidR="00F36C42" w:rsidRPr="0016371F" w:rsidRDefault="00F36C42" w:rsidP="00F36C42">
      <w:pPr>
        <w:pStyle w:val="Heading3"/>
        <w:spacing w:before="0" w:after="160" w:line="276" w:lineRule="auto"/>
        <w:jc w:val="both"/>
        <w:rPr>
          <w:rFonts w:asciiTheme="minorHAnsi" w:hAnsiTheme="minorHAnsi" w:cstheme="minorHAnsi"/>
        </w:rPr>
      </w:pPr>
      <w:bookmarkStart w:id="112" w:name="_Toc128330017"/>
      <w:r>
        <w:rPr>
          <w:rFonts w:asciiTheme="minorHAnsi" w:hAnsiTheme="minorHAnsi" w:cstheme="minorHAnsi"/>
        </w:rPr>
        <w:t>8</w:t>
      </w:r>
      <w:r w:rsidRPr="0016371F">
        <w:rPr>
          <w:rFonts w:asciiTheme="minorHAnsi" w:hAnsiTheme="minorHAnsi" w:cstheme="minorHAnsi"/>
        </w:rPr>
        <w:t>.1 Introduction</w:t>
      </w:r>
      <w:bookmarkEnd w:id="112"/>
    </w:p>
    <w:p w14:paraId="08F22DD1" w14:textId="77777777" w:rsidR="00F36C42" w:rsidRPr="00F421BB" w:rsidRDefault="00F36C42" w:rsidP="00C50D4D">
      <w:pPr>
        <w:spacing w:line="276" w:lineRule="auto"/>
        <w:jc w:val="both"/>
        <w:rPr>
          <w:rFonts w:cstheme="minorHAnsi"/>
        </w:rPr>
      </w:pPr>
      <w:r w:rsidRPr="00F421BB">
        <w:rPr>
          <w:rFonts w:cstheme="minorHAnsi"/>
        </w:rPr>
        <w:t>Patients with failed allografts fare poorly according to standard measures of quality of CKD care, including anaemia management and phosphate control</w:t>
      </w:r>
      <w:r w:rsidRPr="00F421BB">
        <w:rPr>
          <w:rFonts w:cstheme="minorHAnsi"/>
          <w:vertAlign w:val="superscript"/>
        </w:rPr>
        <w:t>1,2</w:t>
      </w:r>
      <w:r w:rsidRPr="00F421BB">
        <w:rPr>
          <w:rFonts w:cstheme="minorHAnsi"/>
        </w:rPr>
        <w:t>.</w:t>
      </w:r>
    </w:p>
    <w:p w14:paraId="4DD46512" w14:textId="77777777" w:rsidR="00F36C42" w:rsidRPr="00F421BB" w:rsidRDefault="00F36C42" w:rsidP="00F36C42">
      <w:pPr>
        <w:pStyle w:val="Heading3"/>
        <w:spacing w:before="0" w:after="160" w:line="276" w:lineRule="auto"/>
        <w:jc w:val="both"/>
      </w:pPr>
      <w:bookmarkStart w:id="113" w:name="_Toc128330018"/>
      <w:r>
        <w:t>8</w:t>
      </w:r>
      <w:r w:rsidRPr="00F421BB">
        <w:t>.2 Anaemia</w:t>
      </w:r>
      <w:bookmarkEnd w:id="113"/>
    </w:p>
    <w:p w14:paraId="68363B94" w14:textId="77777777" w:rsidR="00F36C42" w:rsidRPr="00F421BB" w:rsidRDefault="00F36C42" w:rsidP="00C50D4D">
      <w:pPr>
        <w:spacing w:line="276" w:lineRule="auto"/>
        <w:jc w:val="both"/>
        <w:rPr>
          <w:rFonts w:cstheme="minorHAnsi"/>
        </w:rPr>
      </w:pPr>
      <w:r w:rsidRPr="00F421BB">
        <w:rPr>
          <w:rFonts w:cstheme="minorHAnsi"/>
        </w:rPr>
        <w:t>Anaemia management should follow the pre-existing NICE and KDIGO guidelines for chronic anaemia in chronic kidney disease</w:t>
      </w:r>
      <w:r w:rsidRPr="00F421BB">
        <w:rPr>
          <w:rFonts w:cstheme="minorHAnsi"/>
          <w:vertAlign w:val="superscript"/>
        </w:rPr>
        <w:t>3</w:t>
      </w:r>
      <w:r w:rsidRPr="00F421BB">
        <w:rPr>
          <w:rFonts w:cstheme="minorHAnsi"/>
        </w:rPr>
        <w:t>. Its correction may help extend graft life and improve patient quality of life</w:t>
      </w:r>
      <w:r w:rsidRPr="00F421BB">
        <w:rPr>
          <w:rFonts w:cstheme="minorHAnsi"/>
          <w:vertAlign w:val="superscript"/>
        </w:rPr>
        <w:t>4</w:t>
      </w:r>
      <w:r w:rsidRPr="00F421BB">
        <w:rPr>
          <w:rFonts w:cstheme="minorHAnsi"/>
        </w:rPr>
        <w:t xml:space="preserve">. </w:t>
      </w:r>
      <w:r w:rsidRPr="00F421BB">
        <w:rPr>
          <w:rFonts w:cstheme="minorHAnsi"/>
        </w:rPr>
        <w:lastRenderedPageBreak/>
        <w:t xml:space="preserve">Successful management requires a distinct stepwise approach proactively identifying its presence, determining </w:t>
      </w:r>
      <w:proofErr w:type="gramStart"/>
      <w:r w:rsidRPr="00F421BB">
        <w:rPr>
          <w:rFonts w:cstheme="minorHAnsi"/>
        </w:rPr>
        <w:t>aetiology</w:t>
      </w:r>
      <w:proofErr w:type="gramEnd"/>
      <w:r w:rsidRPr="00F421BB">
        <w:rPr>
          <w:rFonts w:cstheme="minorHAnsi"/>
        </w:rPr>
        <w:t xml:space="preserve"> and then implementing appropriately targeted management.</w:t>
      </w:r>
    </w:p>
    <w:p w14:paraId="03988705" w14:textId="0DEB9C60" w:rsidR="00F36C42" w:rsidRPr="00F421BB" w:rsidRDefault="00F36C42" w:rsidP="00F36C42">
      <w:pPr>
        <w:pStyle w:val="Heading4"/>
        <w:spacing w:before="0" w:after="160"/>
        <w:jc w:val="both"/>
      </w:pPr>
      <w:bookmarkStart w:id="114" w:name="_Toc128330019"/>
      <w:r>
        <w:t>8</w:t>
      </w:r>
      <w:r w:rsidRPr="00F421BB">
        <w:t xml:space="preserve">.2.1 </w:t>
      </w:r>
      <w:r w:rsidR="00D77243">
        <w:tab/>
      </w:r>
      <w:r w:rsidRPr="00F421BB">
        <w:t>Monitoring</w:t>
      </w:r>
      <w:bookmarkEnd w:id="114"/>
    </w:p>
    <w:p w14:paraId="0D806DA9" w14:textId="77777777" w:rsidR="00F36C42" w:rsidRPr="00F421BB" w:rsidRDefault="00F36C42" w:rsidP="00C50D4D">
      <w:pPr>
        <w:spacing w:line="276" w:lineRule="auto"/>
        <w:jc w:val="both"/>
        <w:rPr>
          <w:rFonts w:cstheme="minorHAnsi"/>
        </w:rPr>
      </w:pPr>
      <w:r w:rsidRPr="00F421BB">
        <w:rPr>
          <w:rFonts w:cstheme="minorHAnsi"/>
        </w:rPr>
        <w:t>Early detection can be achieved by reviewing trends in haemoglobin and haematinics. Target a haemoglobin range between 110-120 g/dl, avoiding drops &lt;105 g/dl.</w:t>
      </w:r>
    </w:p>
    <w:p w14:paraId="12FBB1A2" w14:textId="22DAD1DD" w:rsidR="00F36C42" w:rsidRPr="00F421BB" w:rsidRDefault="00F36C42" w:rsidP="00F36C42">
      <w:pPr>
        <w:pStyle w:val="Heading4"/>
        <w:spacing w:before="0" w:after="160"/>
        <w:jc w:val="both"/>
      </w:pPr>
      <w:bookmarkStart w:id="115" w:name="_Toc128330020"/>
      <w:r>
        <w:t>8</w:t>
      </w:r>
      <w:r w:rsidRPr="00F421BB">
        <w:t xml:space="preserve">.2.2 </w:t>
      </w:r>
      <w:r w:rsidR="00D77243">
        <w:tab/>
      </w:r>
      <w:r w:rsidRPr="00F421BB">
        <w:t>General Approach to Management</w:t>
      </w:r>
      <w:bookmarkEnd w:id="115"/>
    </w:p>
    <w:p w14:paraId="5CDA4108" w14:textId="29AADF1A" w:rsidR="00F36C42" w:rsidRPr="00F421BB" w:rsidRDefault="00F36C42" w:rsidP="00C50D4D">
      <w:pPr>
        <w:spacing w:line="276" w:lineRule="auto"/>
        <w:jc w:val="both"/>
        <w:rPr>
          <w:rFonts w:cstheme="minorHAnsi"/>
        </w:rPr>
      </w:pPr>
      <w:r w:rsidRPr="00F421BB">
        <w:rPr>
          <w:rFonts w:cstheme="minorHAnsi"/>
        </w:rPr>
        <w:t xml:space="preserve">Consider causes of anaemia affecting the general population with CKD such as iron, folate, vitamin B12 and erythropoietin deficiency, or gastrointestinal loss; supplementation and correction </w:t>
      </w:r>
      <w:r w:rsidR="00283D2A">
        <w:rPr>
          <w:rFonts w:cstheme="minorHAnsi"/>
        </w:rPr>
        <w:t>are</w:t>
      </w:r>
      <w:r w:rsidRPr="00F421BB">
        <w:rPr>
          <w:rFonts w:cstheme="minorHAnsi"/>
        </w:rPr>
        <w:t xml:space="preserve"> essential. Our favoured use of angiotensin-converting enzyme inhibitors and angiotensin receptor blockers for hypertension in transplant recipients requires weighing of the risk/benefit ratio. In the early phases</w:t>
      </w:r>
      <w:r w:rsidR="00283D2A">
        <w:rPr>
          <w:rFonts w:cstheme="minorHAnsi"/>
        </w:rPr>
        <w:t>,</w:t>
      </w:r>
      <w:r w:rsidRPr="00F421BB">
        <w:rPr>
          <w:rFonts w:cstheme="minorHAnsi"/>
        </w:rPr>
        <w:t xml:space="preserve"> transplant recipients may respond to oral iron however with progressive graft dysfunction intravenous iron is required to adequately replenish stores.</w:t>
      </w:r>
    </w:p>
    <w:p w14:paraId="3BFDBE0D" w14:textId="3FB1CD99" w:rsidR="00F36C42" w:rsidRPr="00F421BB" w:rsidRDefault="00F36C42" w:rsidP="00F36C42">
      <w:pPr>
        <w:pStyle w:val="Heading4"/>
        <w:spacing w:before="0" w:after="160"/>
        <w:jc w:val="both"/>
      </w:pPr>
      <w:bookmarkStart w:id="116" w:name="_Toc128330021"/>
      <w:r>
        <w:t>8</w:t>
      </w:r>
      <w:r w:rsidRPr="00F421BB">
        <w:t xml:space="preserve">.2.3 </w:t>
      </w:r>
      <w:r w:rsidR="00D77243">
        <w:tab/>
      </w:r>
      <w:r w:rsidRPr="00F421BB">
        <w:t>Specific Approach to Management</w:t>
      </w:r>
      <w:bookmarkEnd w:id="116"/>
    </w:p>
    <w:p w14:paraId="1070D304" w14:textId="77777777" w:rsidR="00F36C42" w:rsidRPr="00F421BB" w:rsidRDefault="00F36C42" w:rsidP="00C50D4D">
      <w:pPr>
        <w:spacing w:line="276" w:lineRule="auto"/>
        <w:jc w:val="both"/>
        <w:rPr>
          <w:rFonts w:cstheme="minorHAnsi"/>
        </w:rPr>
      </w:pPr>
      <w:r w:rsidRPr="00F421BB">
        <w:rPr>
          <w:rFonts w:cstheme="minorHAnsi"/>
        </w:rPr>
        <w:t>The impact of immunosuppression requires a distinct focus as it may contribute to anaemia and its identification. For instance, bone marrow suppression by anti-proliferative agents such as mycophenolate mofetil, azathioprine and leflunomide; microcytic anaemia associated with sirolimus</w:t>
      </w:r>
      <w:r w:rsidRPr="00F421BB">
        <w:rPr>
          <w:rFonts w:cstheme="minorHAnsi"/>
          <w:vertAlign w:val="superscript"/>
        </w:rPr>
        <w:t>5,6</w:t>
      </w:r>
      <w:r w:rsidRPr="00F421BB">
        <w:rPr>
          <w:rFonts w:cstheme="minorHAnsi"/>
        </w:rPr>
        <w:t>;</w:t>
      </w:r>
      <w:r w:rsidRPr="00F421BB">
        <w:rPr>
          <w:rFonts w:cstheme="minorHAnsi"/>
          <w:i/>
        </w:rPr>
        <w:t xml:space="preserve"> </w:t>
      </w:r>
      <w:r w:rsidRPr="00F421BB">
        <w:rPr>
          <w:rFonts w:cstheme="minorHAnsi"/>
        </w:rPr>
        <w:t>and haemolytic anaemia or aplastic anaemia associated with tacrolimus and cyclosporin in susceptible individuals.</w:t>
      </w:r>
    </w:p>
    <w:p w14:paraId="535BEF35" w14:textId="3479F4A2" w:rsidR="00F36C42" w:rsidRPr="00F421BB" w:rsidRDefault="00F36C42" w:rsidP="00C50D4D">
      <w:pPr>
        <w:spacing w:line="276" w:lineRule="auto"/>
        <w:jc w:val="both"/>
        <w:rPr>
          <w:rFonts w:cstheme="minorHAnsi"/>
        </w:rPr>
      </w:pPr>
      <w:r w:rsidRPr="00F421BB">
        <w:rPr>
          <w:rFonts w:cstheme="minorHAnsi"/>
        </w:rPr>
        <w:t xml:space="preserve">Infections such as parvovirus-B19, BK polyomavirus, </w:t>
      </w:r>
      <w:proofErr w:type="gramStart"/>
      <w:r w:rsidRPr="00F421BB">
        <w:rPr>
          <w:rFonts w:cstheme="minorHAnsi"/>
        </w:rPr>
        <w:t>adenovirus</w:t>
      </w:r>
      <w:proofErr w:type="gramEnd"/>
      <w:r w:rsidRPr="00F421BB">
        <w:rPr>
          <w:rFonts w:cstheme="minorHAnsi"/>
        </w:rPr>
        <w:t xml:space="preserve"> and Epstein-Barr virus, which are more common in the transplant population, may also contribute to anaemia. Bacterial infections such as urinary sepsis can lead to a grumbling pro-inflammatory state which must be dealt with to enable adequate iron replacement and the expected response to erythropoietin. The possibility of lymphoproliferative disorder also requires consideration particularly as recipients may have had a significant tim</w:t>
      </w:r>
      <w:r w:rsidR="00283D2A">
        <w:rPr>
          <w:rFonts w:cstheme="minorHAnsi"/>
        </w:rPr>
        <w:t>e</w:t>
      </w:r>
      <w:r w:rsidRPr="00F421BB">
        <w:rPr>
          <w:rFonts w:cstheme="minorHAnsi"/>
        </w:rPr>
        <w:t xml:space="preserve"> on immunosuppression.</w:t>
      </w:r>
    </w:p>
    <w:p w14:paraId="08F4AB49" w14:textId="77777777" w:rsidR="00F36C42" w:rsidRPr="00F421BB" w:rsidRDefault="00F36C42" w:rsidP="00C50D4D">
      <w:pPr>
        <w:spacing w:line="276" w:lineRule="auto"/>
        <w:jc w:val="both"/>
        <w:rPr>
          <w:rFonts w:cstheme="minorHAnsi"/>
        </w:rPr>
      </w:pPr>
      <w:r w:rsidRPr="00F421BB">
        <w:rPr>
          <w:rFonts w:cstheme="minorHAnsi"/>
        </w:rPr>
        <w:t>The complex aetiology of anaemia in immunosuppressed transplant patients can lead to an increased incidence of resistant anaemia. It is not uncommon for the failing transplant recipient to be in a pro-inflammatory state due to chronic rejection. Recipients may require a higher body weight-adjusted erythropoietin dose relative to the general CKD population at the same GFR to achieve haemoglobin targets.</w:t>
      </w:r>
    </w:p>
    <w:p w14:paraId="2D5BB9A1" w14:textId="1CA1EC2B" w:rsidR="00F36C42" w:rsidRPr="00F421BB" w:rsidRDefault="00F36C42" w:rsidP="00C50D4D">
      <w:pPr>
        <w:spacing w:line="276" w:lineRule="auto"/>
        <w:jc w:val="both"/>
        <w:rPr>
          <w:rFonts w:cstheme="minorHAnsi"/>
        </w:rPr>
      </w:pPr>
      <w:r w:rsidRPr="00F421BB">
        <w:rPr>
          <w:rFonts w:cstheme="minorHAnsi"/>
        </w:rPr>
        <w:t xml:space="preserve">Anaemia management may require additional reduction of immunosuppression or changing </w:t>
      </w:r>
      <w:r w:rsidR="00283D2A">
        <w:rPr>
          <w:rFonts w:cstheme="minorHAnsi"/>
        </w:rPr>
        <w:t>agents</w:t>
      </w:r>
      <w:r w:rsidRPr="00F421BB">
        <w:rPr>
          <w:rFonts w:cstheme="minorHAnsi"/>
        </w:rPr>
        <w:t>. There may also be a case for consideration of relevant pharmacogenomics when initiating or changing immunosuppression, for instance</w:t>
      </w:r>
      <w:r w:rsidR="00283D2A">
        <w:rPr>
          <w:rFonts w:cstheme="minorHAnsi"/>
        </w:rPr>
        <w:t>,</w:t>
      </w:r>
      <w:r w:rsidRPr="00F421BB">
        <w:rPr>
          <w:rFonts w:cstheme="minorHAnsi"/>
        </w:rPr>
        <w:t xml:space="preserve"> thiopurine S-methyltransferase (TPMT) status in relation to </w:t>
      </w:r>
      <w:r w:rsidR="00283D2A">
        <w:rPr>
          <w:rFonts w:cstheme="minorHAnsi"/>
        </w:rPr>
        <w:t xml:space="preserve">the </w:t>
      </w:r>
      <w:r w:rsidRPr="00F421BB">
        <w:rPr>
          <w:rFonts w:cstheme="minorHAnsi"/>
        </w:rPr>
        <w:t>use of azathioprine</w:t>
      </w:r>
      <w:r w:rsidRPr="00F421BB">
        <w:rPr>
          <w:rFonts w:cstheme="minorHAnsi"/>
          <w:vertAlign w:val="superscript"/>
        </w:rPr>
        <w:t>7</w:t>
      </w:r>
      <w:r w:rsidRPr="00F421BB">
        <w:rPr>
          <w:rFonts w:cstheme="minorHAnsi"/>
        </w:rPr>
        <w:t>. Optimising the pharmacokinetics of mycophenolate exposure</w:t>
      </w:r>
      <w:r w:rsidRPr="00F421BB">
        <w:rPr>
          <w:rFonts w:cstheme="minorHAnsi"/>
          <w:vertAlign w:val="superscript"/>
        </w:rPr>
        <w:t>8,9</w:t>
      </w:r>
      <w:r w:rsidRPr="00F421BB">
        <w:rPr>
          <w:rFonts w:cstheme="minorHAnsi"/>
        </w:rPr>
        <w:t xml:space="preserve"> may also become more important as the transplant progresses through the failing stages.</w:t>
      </w:r>
    </w:p>
    <w:p w14:paraId="32ED327A" w14:textId="77777777" w:rsidR="00F36C42" w:rsidRPr="00F421BB" w:rsidRDefault="00F36C42" w:rsidP="00F36C42">
      <w:pPr>
        <w:pStyle w:val="Heading3"/>
        <w:spacing w:before="0" w:after="160" w:line="276" w:lineRule="auto"/>
        <w:jc w:val="both"/>
      </w:pPr>
      <w:bookmarkStart w:id="117" w:name="_Toc128330022"/>
      <w:r>
        <w:t>8</w:t>
      </w:r>
      <w:r w:rsidRPr="00F421BB">
        <w:t>.3 Mineral and Bone Disorder</w:t>
      </w:r>
      <w:bookmarkEnd w:id="117"/>
    </w:p>
    <w:p w14:paraId="50B635C1" w14:textId="77777777" w:rsidR="00F36C42" w:rsidRPr="00F421BB" w:rsidRDefault="00F36C42" w:rsidP="00C50D4D">
      <w:pPr>
        <w:spacing w:line="276" w:lineRule="auto"/>
        <w:jc w:val="both"/>
        <w:rPr>
          <w:rFonts w:cstheme="minorHAnsi"/>
        </w:rPr>
      </w:pPr>
      <w:r w:rsidRPr="00F421BB">
        <w:rPr>
          <w:rFonts w:cstheme="minorHAnsi"/>
        </w:rPr>
        <w:t xml:space="preserve">Bone and mineral disorders are common in KTRs and are associated with a high risk of fracture, </w:t>
      </w:r>
      <w:proofErr w:type="gramStart"/>
      <w:r w:rsidRPr="00F421BB">
        <w:rPr>
          <w:rFonts w:cstheme="minorHAnsi"/>
        </w:rPr>
        <w:t>morbidity</w:t>
      </w:r>
      <w:proofErr w:type="gramEnd"/>
      <w:r w:rsidRPr="00F421BB">
        <w:rPr>
          <w:rFonts w:cstheme="minorHAnsi"/>
        </w:rPr>
        <w:t xml:space="preserve"> and mortality. Pathophysiology is complex, involving pre-existing CKD-MBD and bone loss due to transplant-specific therapies, especially corticosteroids. However, our understanding is </w:t>
      </w:r>
      <w:r w:rsidRPr="00F421BB">
        <w:rPr>
          <w:rFonts w:cstheme="minorHAnsi"/>
        </w:rPr>
        <w:lastRenderedPageBreak/>
        <w:t>hampered by a paucity of available evidence in the form of bone biopsies, and a lack of well-designed prospective trials</w:t>
      </w:r>
      <w:r w:rsidRPr="00F421BB">
        <w:rPr>
          <w:rFonts w:cstheme="minorHAnsi"/>
          <w:vertAlign w:val="superscript"/>
        </w:rPr>
        <w:t>10,11</w:t>
      </w:r>
      <w:r w:rsidRPr="00F421BB">
        <w:rPr>
          <w:rFonts w:cstheme="minorHAnsi"/>
        </w:rPr>
        <w:t>.</w:t>
      </w:r>
    </w:p>
    <w:p w14:paraId="7939193B" w14:textId="77777777" w:rsidR="00F36C42" w:rsidRPr="00F421BB" w:rsidRDefault="00F36C42" w:rsidP="00C50D4D">
      <w:pPr>
        <w:spacing w:line="276" w:lineRule="auto"/>
        <w:jc w:val="both"/>
        <w:rPr>
          <w:rFonts w:cstheme="minorHAnsi"/>
        </w:rPr>
      </w:pPr>
      <w:r w:rsidRPr="00F421BB">
        <w:rPr>
          <w:rFonts w:cstheme="minorHAnsi"/>
        </w:rPr>
        <w:t>We recommend that management encompasses the recommendations in the KDIGO 2017 Clinical Practice Guideline Update for the Diagnosis, Evaluation, Prevention and Treatment of CKD-MBD, Chapter 5: Evaluation and treatment of kidney transplant bone disease</w:t>
      </w:r>
      <w:r w:rsidRPr="00F421BB">
        <w:rPr>
          <w:rFonts w:cstheme="minorHAnsi"/>
          <w:vertAlign w:val="superscript"/>
        </w:rPr>
        <w:t>12</w:t>
      </w:r>
      <w:r w:rsidRPr="00F421BB">
        <w:rPr>
          <w:rFonts w:cstheme="minorHAnsi"/>
        </w:rPr>
        <w:t>, alongside the NICE 2021 CKD: assessment and management guideline, 1.11 and 1.12</w:t>
      </w:r>
      <w:r w:rsidRPr="00F421BB">
        <w:rPr>
          <w:rFonts w:cstheme="minorHAnsi"/>
          <w:vertAlign w:val="superscript"/>
        </w:rPr>
        <w:t>3</w:t>
      </w:r>
      <w:r w:rsidRPr="00F421BB">
        <w:rPr>
          <w:rFonts w:cstheme="minorHAnsi"/>
        </w:rPr>
        <w:t>.</w:t>
      </w:r>
    </w:p>
    <w:p w14:paraId="1E89F0C2" w14:textId="77777777" w:rsidR="00F36C42" w:rsidRPr="00F421BB" w:rsidRDefault="00F36C42" w:rsidP="00C50D4D">
      <w:pPr>
        <w:spacing w:line="276" w:lineRule="auto"/>
        <w:jc w:val="both"/>
        <w:rPr>
          <w:rFonts w:cstheme="minorHAnsi"/>
        </w:rPr>
      </w:pPr>
      <w:r w:rsidRPr="00F421BB">
        <w:rPr>
          <w:rFonts w:cstheme="minorHAnsi"/>
        </w:rPr>
        <w:t>These can be summarised as:</w:t>
      </w:r>
    </w:p>
    <w:p w14:paraId="2CE613ED" w14:textId="1E9B5F96" w:rsidR="00F36C42" w:rsidRPr="00F421BB" w:rsidRDefault="00F36C42" w:rsidP="00F36C42">
      <w:pPr>
        <w:pStyle w:val="Heading4"/>
        <w:spacing w:before="0" w:after="160"/>
        <w:jc w:val="both"/>
      </w:pPr>
      <w:bookmarkStart w:id="118" w:name="_Toc128330023"/>
      <w:r>
        <w:t>8</w:t>
      </w:r>
      <w:r w:rsidRPr="00F421BB">
        <w:t xml:space="preserve">.3.1 </w:t>
      </w:r>
      <w:r w:rsidR="00A85D14">
        <w:tab/>
      </w:r>
      <w:r w:rsidRPr="00F421BB">
        <w:t>Monitoring</w:t>
      </w:r>
      <w:bookmarkEnd w:id="118"/>
    </w:p>
    <w:p w14:paraId="11972F96" w14:textId="77777777" w:rsidR="00F36C42" w:rsidRPr="00F421BB" w:rsidRDefault="00F36C42" w:rsidP="00C50D4D">
      <w:pPr>
        <w:spacing w:line="276" w:lineRule="auto"/>
        <w:jc w:val="both"/>
        <w:rPr>
          <w:rFonts w:cstheme="minorHAnsi"/>
        </w:rPr>
      </w:pPr>
      <w:r w:rsidRPr="00F421BB">
        <w:rPr>
          <w:rFonts w:cstheme="minorHAnsi"/>
        </w:rPr>
        <w:t xml:space="preserve">Measure serum calcium, </w:t>
      </w:r>
      <w:proofErr w:type="gramStart"/>
      <w:r w:rsidRPr="00F421BB">
        <w:rPr>
          <w:rFonts w:cstheme="minorHAnsi"/>
        </w:rPr>
        <w:t>phosphate</w:t>
      </w:r>
      <w:proofErr w:type="gramEnd"/>
      <w:r w:rsidRPr="00F421BB">
        <w:rPr>
          <w:rFonts w:cstheme="minorHAnsi"/>
        </w:rPr>
        <w:t xml:space="preserve"> and parathyroid hormone concentrations in adults with a GFR of less than 30 ml/min/1.73 m</w:t>
      </w:r>
      <w:r w:rsidRPr="00F421BB">
        <w:rPr>
          <w:rFonts w:cstheme="minorHAnsi"/>
          <w:vertAlign w:val="superscript"/>
        </w:rPr>
        <w:t>2</w:t>
      </w:r>
      <w:r w:rsidRPr="00F421BB">
        <w:rPr>
          <w:rFonts w:cstheme="minorHAnsi"/>
        </w:rPr>
        <w:t>. Determine the subsequent frequency of testing by the measured values and the clinical circumstances.</w:t>
      </w:r>
    </w:p>
    <w:p w14:paraId="700941B7" w14:textId="49AEAFC5" w:rsidR="00F36C42" w:rsidRPr="00F421BB" w:rsidRDefault="00F36C42" w:rsidP="00F36C42">
      <w:pPr>
        <w:pStyle w:val="Heading4"/>
        <w:spacing w:before="0" w:after="160"/>
        <w:jc w:val="both"/>
      </w:pPr>
      <w:bookmarkStart w:id="119" w:name="_Toc128330024"/>
      <w:r>
        <w:t>8</w:t>
      </w:r>
      <w:r w:rsidRPr="00F421BB">
        <w:t xml:space="preserve">.3.2 </w:t>
      </w:r>
      <w:r w:rsidR="00A85D14">
        <w:tab/>
      </w:r>
      <w:r w:rsidRPr="00F421BB">
        <w:t>Hyperphosphataemia management</w:t>
      </w:r>
      <w:bookmarkEnd w:id="119"/>
    </w:p>
    <w:p w14:paraId="2E2AFA79" w14:textId="77777777" w:rsidR="00F36C42" w:rsidRPr="00F421BB" w:rsidRDefault="00F36C42" w:rsidP="00F36C42">
      <w:pPr>
        <w:jc w:val="both"/>
        <w:rPr>
          <w:rFonts w:cstheme="minorHAnsi"/>
        </w:rPr>
      </w:pPr>
      <w:r w:rsidRPr="00F421BB">
        <w:rPr>
          <w:rFonts w:cstheme="minorHAnsi"/>
        </w:rPr>
        <w:t>Manage abnormalities as for patients with CKD stages 3-5.</w:t>
      </w:r>
    </w:p>
    <w:p w14:paraId="41D7CA80" w14:textId="4D99EDD6" w:rsidR="00F36C42" w:rsidRPr="00F421BB" w:rsidRDefault="00F36C42" w:rsidP="00F36C42">
      <w:pPr>
        <w:pStyle w:val="Heading4"/>
        <w:spacing w:before="0" w:after="160"/>
        <w:jc w:val="both"/>
      </w:pPr>
      <w:bookmarkStart w:id="120" w:name="_Toc128330025"/>
      <w:r>
        <w:t>8</w:t>
      </w:r>
      <w:r w:rsidRPr="00F421BB">
        <w:t xml:space="preserve">.3.3 </w:t>
      </w:r>
      <w:r w:rsidR="00A85D14">
        <w:tab/>
      </w:r>
      <w:r w:rsidRPr="00F421BB">
        <w:t>Bone metabolism and osteoporosis</w:t>
      </w:r>
      <w:bookmarkEnd w:id="120"/>
    </w:p>
    <w:p w14:paraId="0E80627A" w14:textId="77777777" w:rsidR="00F36C42" w:rsidRPr="00F421BB" w:rsidRDefault="00F36C42" w:rsidP="00C50D4D">
      <w:pPr>
        <w:spacing w:line="276" w:lineRule="auto"/>
        <w:jc w:val="both"/>
        <w:rPr>
          <w:rFonts w:cstheme="minorHAnsi"/>
        </w:rPr>
      </w:pPr>
      <w:r w:rsidRPr="00F421BB">
        <w:rPr>
          <w:rFonts w:cstheme="minorHAnsi"/>
        </w:rPr>
        <w:t>In patients with CKD stages 4–5T, we suggest that bone mineral density (BMD) testing not be performed routinely, because BMD does not predict fracture risk as it does in the general population and BMD does not predict the type of kidney transplant bone disease. In patients with CKD stages 4–5T with a known low BMD, we suggest management as for patients with CKD stages 4–5 not on dialysis.</w:t>
      </w:r>
    </w:p>
    <w:p w14:paraId="6E4E8ADB" w14:textId="2545F958" w:rsidR="00F36C42" w:rsidRPr="00F421BB" w:rsidRDefault="00F36C42" w:rsidP="00F36C42">
      <w:pPr>
        <w:pStyle w:val="Heading4"/>
        <w:spacing w:before="0" w:after="160"/>
        <w:jc w:val="both"/>
      </w:pPr>
      <w:bookmarkStart w:id="121" w:name="_Toc128330026"/>
      <w:r>
        <w:t>8</w:t>
      </w:r>
      <w:r w:rsidRPr="00F421BB">
        <w:t xml:space="preserve">.3.4 </w:t>
      </w:r>
      <w:r w:rsidR="00A85D14">
        <w:tab/>
      </w:r>
      <w:r w:rsidRPr="00F421BB">
        <w:t>Vitamin D supplementation</w:t>
      </w:r>
      <w:bookmarkEnd w:id="121"/>
    </w:p>
    <w:p w14:paraId="5631D7A9" w14:textId="77777777" w:rsidR="00F36C42" w:rsidRPr="00F421BB" w:rsidRDefault="00F36C42" w:rsidP="00C50D4D">
      <w:pPr>
        <w:spacing w:line="276" w:lineRule="auto"/>
        <w:jc w:val="both"/>
        <w:rPr>
          <w:rFonts w:cstheme="minorHAnsi"/>
        </w:rPr>
      </w:pPr>
      <w:r w:rsidRPr="00F421BB">
        <w:rPr>
          <w:rFonts w:cstheme="minorHAnsi"/>
        </w:rPr>
        <w:t>Offer colecalciferol or ergocalciferol to treat vitamin D deficiency. Once corrected, if symptoms of CKD-MBD persist, offer alfacalcidol (1-alpha-hydroxycholecalciferol) or calcitriol (1-25-dihydroxycholecalciferol) to people with a GFR of less than 30 ml/min/1.73 m</w:t>
      </w:r>
      <w:r w:rsidRPr="00F421BB">
        <w:rPr>
          <w:rFonts w:cstheme="minorHAnsi"/>
          <w:vertAlign w:val="superscript"/>
        </w:rPr>
        <w:t>2</w:t>
      </w:r>
      <w:r w:rsidRPr="00F421BB">
        <w:rPr>
          <w:rFonts w:cstheme="minorHAnsi"/>
        </w:rPr>
        <w:t>. Monitor serum calcium and phosphate concentrations as above.</w:t>
      </w:r>
    </w:p>
    <w:p w14:paraId="512B6202" w14:textId="77777777" w:rsidR="00F36C42" w:rsidRPr="00F421BB" w:rsidRDefault="00F36C42" w:rsidP="00F36C42">
      <w:pPr>
        <w:pStyle w:val="Heading3"/>
        <w:spacing w:before="0" w:after="160" w:line="276" w:lineRule="auto"/>
        <w:jc w:val="both"/>
      </w:pPr>
      <w:bookmarkStart w:id="122" w:name="_Toc128330027"/>
      <w:r>
        <w:t>8</w:t>
      </w:r>
      <w:r w:rsidRPr="00F421BB">
        <w:t>.4 Metabolic Acidosis</w:t>
      </w:r>
      <w:bookmarkEnd w:id="122"/>
    </w:p>
    <w:p w14:paraId="085BCAFC" w14:textId="6EB1898C" w:rsidR="00F36C42" w:rsidRPr="00F421BB" w:rsidRDefault="00F36C42" w:rsidP="00C50D4D">
      <w:pPr>
        <w:spacing w:line="276" w:lineRule="auto"/>
        <w:jc w:val="both"/>
        <w:rPr>
          <w:rFonts w:cstheme="minorHAnsi"/>
        </w:rPr>
      </w:pPr>
      <w:r w:rsidRPr="00F421BB">
        <w:rPr>
          <w:rFonts w:cstheme="minorHAnsi"/>
        </w:rPr>
        <w:t xml:space="preserve">Metabolic acidosis (MA) is usually defined as </w:t>
      </w:r>
      <w:r w:rsidR="00283D2A">
        <w:rPr>
          <w:rFonts w:cstheme="minorHAnsi"/>
        </w:rPr>
        <w:t xml:space="preserve">a </w:t>
      </w:r>
      <w:r w:rsidRPr="00F421BB">
        <w:rPr>
          <w:rFonts w:cstheme="minorHAnsi"/>
        </w:rPr>
        <w:t xml:space="preserve">persistently low serum sodium bicarbonate level </w:t>
      </w:r>
      <w:r w:rsidR="00283D2A">
        <w:rPr>
          <w:rFonts w:cstheme="minorHAnsi"/>
        </w:rPr>
        <w:t xml:space="preserve">of </w:t>
      </w:r>
      <w:r w:rsidRPr="00F421BB">
        <w:rPr>
          <w:rFonts w:cstheme="minorHAnsi"/>
        </w:rPr>
        <w:t>less than 22mmol/l and is commonly observed in kidney transplant recipients with associated bone disease and muscle wasting. In children, MA impairs growth by inhibiting growth hormone secretion.</w:t>
      </w:r>
    </w:p>
    <w:p w14:paraId="4486DA5F" w14:textId="77777777" w:rsidR="00F36C42" w:rsidRPr="00F421BB" w:rsidRDefault="00F36C42" w:rsidP="00C50D4D">
      <w:pPr>
        <w:spacing w:line="276" w:lineRule="auto"/>
        <w:jc w:val="both"/>
        <w:rPr>
          <w:rFonts w:cstheme="minorHAnsi"/>
        </w:rPr>
      </w:pPr>
      <w:r w:rsidRPr="00F421BB">
        <w:rPr>
          <w:rFonts w:cstheme="minorHAnsi"/>
        </w:rPr>
        <w:t>Recent studies have suggested it is an independent risk factor for CKD progression and ischemic cardiovascular events with associated graft failure and mortality and is positively associated with eGFR.</w:t>
      </w:r>
    </w:p>
    <w:p w14:paraId="04744A87" w14:textId="6B8F6620" w:rsidR="00F36C42" w:rsidRPr="00F421BB" w:rsidRDefault="00F36C42" w:rsidP="00C50D4D">
      <w:pPr>
        <w:spacing w:line="276" w:lineRule="auto"/>
        <w:jc w:val="both"/>
        <w:rPr>
          <w:rFonts w:cstheme="minorHAnsi"/>
        </w:rPr>
      </w:pPr>
      <w:r w:rsidRPr="00F421BB">
        <w:rPr>
          <w:rFonts w:cstheme="minorHAnsi"/>
        </w:rPr>
        <w:t xml:space="preserve">There is little data to associate </w:t>
      </w:r>
      <w:r w:rsidR="00283D2A">
        <w:rPr>
          <w:rFonts w:cstheme="minorHAnsi"/>
        </w:rPr>
        <w:t xml:space="preserve">the </w:t>
      </w:r>
      <w:r w:rsidRPr="00F421BB">
        <w:rPr>
          <w:rFonts w:cstheme="minorHAnsi"/>
        </w:rPr>
        <w:t xml:space="preserve">correction of MA with improved outcomes in kidney transplant </w:t>
      </w:r>
      <w:r w:rsidR="0082468C">
        <w:rPr>
          <w:rFonts w:cstheme="minorHAnsi"/>
        </w:rPr>
        <w:t>recipients,</w:t>
      </w:r>
      <w:r w:rsidRPr="00F421BB">
        <w:rPr>
          <w:rFonts w:cstheme="minorHAnsi"/>
        </w:rPr>
        <w:t xml:space="preserve"> but it would seem prudent to correct </w:t>
      </w:r>
      <w:r w:rsidR="00283D2A">
        <w:rPr>
          <w:rFonts w:cstheme="minorHAnsi"/>
        </w:rPr>
        <w:t xml:space="preserve">it </w:t>
      </w:r>
      <w:r w:rsidRPr="00F421BB">
        <w:rPr>
          <w:rFonts w:cstheme="minorHAnsi"/>
        </w:rPr>
        <w:t>according to patients with CKD</w:t>
      </w:r>
      <w:r w:rsidRPr="00F421BB">
        <w:rPr>
          <w:rFonts w:cstheme="minorHAnsi"/>
          <w:vertAlign w:val="superscript"/>
        </w:rPr>
        <w:t>3,13</w:t>
      </w:r>
      <w:r w:rsidRPr="00F421BB">
        <w:rPr>
          <w:rFonts w:cstheme="minorHAnsi"/>
        </w:rPr>
        <w:t>.</w:t>
      </w:r>
    </w:p>
    <w:p w14:paraId="7C5BD29D" w14:textId="087B6D34" w:rsidR="00F36C42" w:rsidRPr="00F421BB" w:rsidRDefault="00F36C42" w:rsidP="00F36C42">
      <w:pPr>
        <w:pStyle w:val="Heading4"/>
        <w:spacing w:before="0" w:after="160"/>
        <w:jc w:val="both"/>
      </w:pPr>
      <w:bookmarkStart w:id="123" w:name="_Toc128330028"/>
      <w:r>
        <w:t>8</w:t>
      </w:r>
      <w:r w:rsidRPr="00F421BB">
        <w:t xml:space="preserve">.4.1 </w:t>
      </w:r>
      <w:r w:rsidR="00A85D14">
        <w:tab/>
      </w:r>
      <w:r w:rsidRPr="00F421BB">
        <w:t>Monitoring</w:t>
      </w:r>
      <w:bookmarkEnd w:id="123"/>
    </w:p>
    <w:p w14:paraId="69ABCC5D" w14:textId="0352A569" w:rsidR="00F36C42" w:rsidRPr="00F421BB" w:rsidRDefault="00283D2A" w:rsidP="00C50D4D">
      <w:pPr>
        <w:spacing w:line="276" w:lineRule="auto"/>
        <w:jc w:val="both"/>
        <w:rPr>
          <w:rFonts w:cstheme="minorHAnsi"/>
        </w:rPr>
      </w:pPr>
      <w:r>
        <w:rPr>
          <w:rFonts w:cstheme="minorHAnsi"/>
        </w:rPr>
        <w:t>The frequency</w:t>
      </w:r>
      <w:r w:rsidR="00F36C42" w:rsidRPr="00F421BB">
        <w:rPr>
          <w:rFonts w:cstheme="minorHAnsi"/>
        </w:rPr>
        <w:t xml:space="preserve"> of monitoring of serum bicarbonate levels in kidney transplant recipients should be based on </w:t>
      </w:r>
      <w:r>
        <w:rPr>
          <w:rFonts w:cstheme="minorHAnsi"/>
        </w:rPr>
        <w:t xml:space="preserve">the </w:t>
      </w:r>
      <w:r w:rsidR="00F36C42" w:rsidRPr="00F421BB">
        <w:rPr>
          <w:rFonts w:cstheme="minorHAnsi"/>
        </w:rPr>
        <w:t>clinical condition.</w:t>
      </w:r>
    </w:p>
    <w:p w14:paraId="7ECC0B62" w14:textId="02191B44" w:rsidR="00F36C42" w:rsidRPr="00F421BB" w:rsidRDefault="00F36C42" w:rsidP="00F36C42">
      <w:pPr>
        <w:pStyle w:val="Heading4"/>
        <w:spacing w:before="0" w:after="160"/>
        <w:jc w:val="both"/>
      </w:pPr>
      <w:bookmarkStart w:id="124" w:name="_Toc128330029"/>
      <w:r>
        <w:lastRenderedPageBreak/>
        <w:t>8</w:t>
      </w:r>
      <w:r w:rsidRPr="00F421BB">
        <w:t xml:space="preserve">.4.2 </w:t>
      </w:r>
      <w:r w:rsidR="00A85D14">
        <w:tab/>
      </w:r>
      <w:r w:rsidRPr="00F421BB">
        <w:t>Treatment</w:t>
      </w:r>
      <w:bookmarkEnd w:id="124"/>
    </w:p>
    <w:p w14:paraId="74DDBB9D" w14:textId="69FA8AAA" w:rsidR="00F36C42" w:rsidRPr="00F421BB" w:rsidRDefault="00F36C42" w:rsidP="00C50D4D">
      <w:pPr>
        <w:spacing w:line="276" w:lineRule="auto"/>
        <w:jc w:val="both"/>
        <w:rPr>
          <w:rFonts w:cstheme="minorHAnsi"/>
        </w:rPr>
      </w:pPr>
      <w:r w:rsidRPr="00F421BB">
        <w:rPr>
          <w:rFonts w:cstheme="minorHAnsi"/>
        </w:rPr>
        <w:t xml:space="preserve">We suggest treating bicarbonate levels &lt;22mmol/l by supplementing with oral sodium bicarbonate 500mg three times a day, escalating the dose according to the response. Two serum sodium bicarbonate levels should be taken before starting treatment due to </w:t>
      </w:r>
      <w:r w:rsidR="00283D2A">
        <w:rPr>
          <w:rFonts w:cstheme="minorHAnsi"/>
        </w:rPr>
        <w:t>variations</w:t>
      </w:r>
      <w:r w:rsidRPr="00F421BB">
        <w:rPr>
          <w:rFonts w:cstheme="minorHAnsi"/>
        </w:rPr>
        <w:t xml:space="preserve"> in serum level</w:t>
      </w:r>
      <w:r w:rsidRPr="00F421BB">
        <w:rPr>
          <w:rFonts w:cstheme="minorHAnsi"/>
          <w:vertAlign w:val="superscript"/>
        </w:rPr>
        <w:t>14,15</w:t>
      </w:r>
      <w:r w:rsidRPr="00F421BB">
        <w:rPr>
          <w:rFonts w:cstheme="minorHAnsi"/>
        </w:rPr>
        <w:t>.</w:t>
      </w:r>
    </w:p>
    <w:p w14:paraId="7973708A" w14:textId="77777777" w:rsidR="00F36C42" w:rsidRPr="00F421BB" w:rsidRDefault="00F36C42" w:rsidP="00C50D4D">
      <w:pPr>
        <w:spacing w:line="276" w:lineRule="auto"/>
        <w:jc w:val="both"/>
        <w:rPr>
          <w:rFonts w:cstheme="minorHAnsi"/>
        </w:rPr>
      </w:pPr>
      <w:r w:rsidRPr="00F421BB">
        <w:rPr>
          <w:rFonts w:cstheme="minorHAnsi"/>
        </w:rPr>
        <w:t>Sodium citrate may cause less GI side effects but can be associated with aluminium toxicity. Novel agents are under investigation for future use.</w:t>
      </w:r>
    </w:p>
    <w:p w14:paraId="5CB15DBC" w14:textId="64024B52" w:rsidR="00F36C42" w:rsidRPr="00F421BB" w:rsidRDefault="00F36C42" w:rsidP="00C50D4D">
      <w:pPr>
        <w:spacing w:line="276" w:lineRule="auto"/>
        <w:jc w:val="both"/>
        <w:rPr>
          <w:rFonts w:cstheme="minorHAnsi"/>
        </w:rPr>
      </w:pPr>
      <w:r w:rsidRPr="00F421BB">
        <w:rPr>
          <w:rFonts w:cstheme="minorHAnsi"/>
        </w:rPr>
        <w:t xml:space="preserve">Potentially sodium salts may worsen hypertension and fluid </w:t>
      </w:r>
      <w:r w:rsidR="00283D2A" w:rsidRPr="00F421BB">
        <w:rPr>
          <w:rFonts w:cstheme="minorHAnsi"/>
        </w:rPr>
        <w:t>overload,</w:t>
      </w:r>
      <w:r w:rsidRPr="00F421BB">
        <w:rPr>
          <w:rFonts w:cstheme="minorHAnsi"/>
        </w:rPr>
        <w:t xml:space="preserve"> but this is rarely seen in practice.</w:t>
      </w:r>
    </w:p>
    <w:p w14:paraId="1B65DC07" w14:textId="3E969A53" w:rsidR="00F36C42" w:rsidRPr="00F421BB" w:rsidRDefault="00C50D4D" w:rsidP="00F36C42">
      <w:pPr>
        <w:pStyle w:val="Heading2"/>
        <w:rPr>
          <w:sz w:val="22"/>
          <w:szCs w:val="22"/>
        </w:rPr>
      </w:pPr>
      <w:bookmarkStart w:id="125" w:name="_Toc128330030"/>
      <w:r>
        <w:rPr>
          <w:rFonts w:asciiTheme="minorHAnsi" w:hAnsiTheme="minorHAnsi" w:cstheme="minorHAnsi"/>
          <w:sz w:val="22"/>
          <w:szCs w:val="22"/>
        </w:rPr>
        <w:t>References</w:t>
      </w:r>
      <w:bookmarkEnd w:id="125"/>
    </w:p>
    <w:p w14:paraId="2DB6AD25" w14:textId="77777777" w:rsidR="00F36C42" w:rsidRPr="00F421BB" w:rsidRDefault="00F36C42" w:rsidP="006118E4">
      <w:pPr>
        <w:spacing w:after="0" w:line="276" w:lineRule="auto"/>
        <w:ind w:left="709" w:hanging="720"/>
        <w:jc w:val="both"/>
        <w:rPr>
          <w:rFonts w:cstheme="minorHAnsi"/>
        </w:rPr>
      </w:pPr>
      <w:r w:rsidRPr="00F421BB">
        <w:rPr>
          <w:rFonts w:cstheme="minorHAnsi"/>
        </w:rPr>
        <w:t xml:space="preserve">1.        </w:t>
      </w:r>
      <w:r w:rsidRPr="00F421BB">
        <w:rPr>
          <w:rFonts w:cstheme="minorHAnsi"/>
        </w:rPr>
        <w:tab/>
        <w:t xml:space="preserve">Huml, A.M. and A.R. Sehgal, </w:t>
      </w:r>
      <w:r w:rsidRPr="00F421BB">
        <w:rPr>
          <w:rFonts w:cstheme="minorHAnsi"/>
          <w:i/>
        </w:rPr>
        <w:t>Hemodialysis Quality Metrics in the First Year Following a Failed Kidney Transplant.</w:t>
      </w:r>
      <w:r w:rsidRPr="00F421BB">
        <w:rPr>
          <w:rFonts w:cstheme="minorHAnsi"/>
        </w:rPr>
        <w:t xml:space="preserve"> Am J Nephrol, 2019. </w:t>
      </w:r>
      <w:r w:rsidRPr="00F421BB">
        <w:rPr>
          <w:rFonts w:cstheme="minorHAnsi"/>
          <w:b/>
        </w:rPr>
        <w:t>50</w:t>
      </w:r>
      <w:r w:rsidRPr="00F421BB">
        <w:rPr>
          <w:rFonts w:cstheme="minorHAnsi"/>
        </w:rPr>
        <w:t>(3): p. 161-167.</w:t>
      </w:r>
    </w:p>
    <w:p w14:paraId="541D2B8C" w14:textId="77777777" w:rsidR="00F36C42" w:rsidRPr="00F421BB" w:rsidRDefault="00F36C42" w:rsidP="006118E4">
      <w:pPr>
        <w:spacing w:after="0" w:line="276" w:lineRule="auto"/>
        <w:ind w:left="709" w:hanging="720"/>
        <w:jc w:val="both"/>
        <w:rPr>
          <w:rFonts w:cstheme="minorHAnsi"/>
        </w:rPr>
      </w:pPr>
      <w:r w:rsidRPr="00F421BB">
        <w:rPr>
          <w:rFonts w:cstheme="minorHAnsi"/>
        </w:rPr>
        <w:t xml:space="preserve">2.        </w:t>
      </w:r>
      <w:r w:rsidRPr="00F421BB">
        <w:rPr>
          <w:rFonts w:cstheme="minorHAnsi"/>
        </w:rPr>
        <w:tab/>
        <w:t xml:space="preserve">Perl, J., et al., </w:t>
      </w:r>
      <w:r w:rsidRPr="00F421BB">
        <w:rPr>
          <w:rFonts w:cstheme="minorHAnsi"/>
          <w:i/>
        </w:rPr>
        <w:t>Reduced survival and quality of life following return to dialysis after transplant failure: the Dialysis Outcomes and Practice Patterns Study.</w:t>
      </w:r>
      <w:r w:rsidRPr="00F421BB">
        <w:rPr>
          <w:rFonts w:cstheme="minorHAnsi"/>
        </w:rPr>
        <w:t xml:space="preserve"> Nephrol Dial Transplant, 2012. </w:t>
      </w:r>
      <w:r w:rsidRPr="00F421BB">
        <w:rPr>
          <w:rFonts w:cstheme="minorHAnsi"/>
          <w:b/>
        </w:rPr>
        <w:t>27</w:t>
      </w:r>
      <w:r w:rsidRPr="00F421BB">
        <w:rPr>
          <w:rFonts w:cstheme="minorHAnsi"/>
        </w:rPr>
        <w:t>(12): p. 4464-72.</w:t>
      </w:r>
    </w:p>
    <w:p w14:paraId="7E1C8228" w14:textId="77777777" w:rsidR="00F36C42" w:rsidRPr="00F421BB" w:rsidRDefault="00F36C42" w:rsidP="006118E4">
      <w:pPr>
        <w:spacing w:after="0" w:line="276" w:lineRule="auto"/>
        <w:ind w:left="709" w:hanging="720"/>
        <w:jc w:val="both"/>
        <w:rPr>
          <w:rFonts w:cstheme="minorHAnsi"/>
          <w:i/>
        </w:rPr>
      </w:pPr>
      <w:r w:rsidRPr="00F421BB">
        <w:rPr>
          <w:rFonts w:cstheme="minorHAnsi"/>
        </w:rPr>
        <w:t xml:space="preserve">3.        </w:t>
      </w:r>
      <w:r w:rsidRPr="00F421BB">
        <w:rPr>
          <w:rFonts w:cstheme="minorHAnsi"/>
        </w:rPr>
        <w:tab/>
      </w:r>
      <w:r w:rsidRPr="00F421BB">
        <w:rPr>
          <w:rFonts w:cstheme="minorHAnsi"/>
          <w:i/>
        </w:rPr>
        <w:t xml:space="preserve">National Institute for Health and Care Excellence (NICE) (2021) </w:t>
      </w:r>
      <w:proofErr w:type="gramStart"/>
      <w:r w:rsidRPr="00F421BB">
        <w:rPr>
          <w:rFonts w:cstheme="minorHAnsi"/>
          <w:i/>
        </w:rPr>
        <w:t>Chronic kidney disease</w:t>
      </w:r>
      <w:proofErr w:type="gramEnd"/>
      <w:r w:rsidRPr="00F421BB">
        <w:rPr>
          <w:rFonts w:cstheme="minorHAnsi"/>
          <w:i/>
        </w:rPr>
        <w:t>: assessment and management. NG203. Available at:</w:t>
      </w:r>
      <w:hyperlink r:id="rId61">
        <w:r w:rsidRPr="00F421BB">
          <w:rPr>
            <w:rFonts w:cstheme="minorHAnsi"/>
            <w:i/>
          </w:rPr>
          <w:t xml:space="preserve"> </w:t>
        </w:r>
      </w:hyperlink>
      <w:hyperlink r:id="rId62">
        <w:r w:rsidRPr="00F421BB">
          <w:rPr>
            <w:rFonts w:cstheme="minorHAnsi"/>
            <w:i/>
            <w:color w:val="1155CC"/>
            <w:u w:val="single"/>
          </w:rPr>
          <w:t>https://www.nice.org.uk/guidance/ng203</w:t>
        </w:r>
      </w:hyperlink>
      <w:r w:rsidRPr="00F421BB">
        <w:rPr>
          <w:rFonts w:cstheme="minorHAnsi"/>
          <w:i/>
        </w:rPr>
        <w:t>.</w:t>
      </w:r>
    </w:p>
    <w:p w14:paraId="26BA32BE" w14:textId="77777777" w:rsidR="00F36C42" w:rsidRPr="00F421BB" w:rsidRDefault="00F36C42" w:rsidP="006118E4">
      <w:pPr>
        <w:spacing w:after="0" w:line="276" w:lineRule="auto"/>
        <w:ind w:left="709" w:hanging="720"/>
        <w:jc w:val="both"/>
        <w:rPr>
          <w:rFonts w:cstheme="minorHAnsi"/>
        </w:rPr>
      </w:pPr>
      <w:r w:rsidRPr="00F421BB">
        <w:rPr>
          <w:rFonts w:cstheme="minorHAnsi"/>
        </w:rPr>
        <w:t xml:space="preserve">4.        </w:t>
      </w:r>
      <w:r w:rsidRPr="00F421BB">
        <w:rPr>
          <w:rFonts w:cstheme="minorHAnsi"/>
        </w:rPr>
        <w:tab/>
        <w:t xml:space="preserve">Jones, H., et al., </w:t>
      </w:r>
      <w:r w:rsidRPr="00F421BB">
        <w:rPr>
          <w:rFonts w:cstheme="minorHAnsi"/>
          <w:i/>
        </w:rPr>
        <w:t>Anemia after kidney transplantation; its prevalence, risk factors, and independent association with graft and patient survival: a time-varying analysis.</w:t>
      </w:r>
      <w:r w:rsidRPr="00F421BB">
        <w:rPr>
          <w:rFonts w:cstheme="minorHAnsi"/>
        </w:rPr>
        <w:t xml:space="preserve"> Transplantation, 2012. </w:t>
      </w:r>
      <w:r w:rsidRPr="00F421BB">
        <w:rPr>
          <w:rFonts w:cstheme="minorHAnsi"/>
          <w:b/>
        </w:rPr>
        <w:t>93</w:t>
      </w:r>
      <w:r w:rsidRPr="00F421BB">
        <w:rPr>
          <w:rFonts w:cstheme="minorHAnsi"/>
        </w:rPr>
        <w:t>(9): p. 923-8.</w:t>
      </w:r>
    </w:p>
    <w:p w14:paraId="50396064" w14:textId="77777777" w:rsidR="00F36C42" w:rsidRPr="00F421BB" w:rsidRDefault="00F36C42" w:rsidP="006118E4">
      <w:pPr>
        <w:spacing w:after="0" w:line="276" w:lineRule="auto"/>
        <w:ind w:left="709" w:hanging="720"/>
        <w:jc w:val="both"/>
        <w:rPr>
          <w:rFonts w:cstheme="minorHAnsi"/>
        </w:rPr>
      </w:pPr>
      <w:r w:rsidRPr="00F421BB">
        <w:rPr>
          <w:rFonts w:cstheme="minorHAnsi"/>
        </w:rPr>
        <w:t xml:space="preserve">5.        </w:t>
      </w:r>
      <w:r w:rsidRPr="00F421BB">
        <w:rPr>
          <w:rFonts w:cstheme="minorHAnsi"/>
        </w:rPr>
        <w:tab/>
        <w:t xml:space="preserve">Fishbane, S., et al., </w:t>
      </w:r>
      <w:r w:rsidRPr="00F421BB">
        <w:rPr>
          <w:rFonts w:cstheme="minorHAnsi"/>
          <w:i/>
        </w:rPr>
        <w:t>Posttransplant anemia: the role of sirolimus.</w:t>
      </w:r>
      <w:r w:rsidRPr="00F421BB">
        <w:rPr>
          <w:rFonts w:cstheme="minorHAnsi"/>
        </w:rPr>
        <w:t xml:space="preserve"> Kidney Int, 2009. </w:t>
      </w:r>
      <w:r w:rsidRPr="00F421BB">
        <w:rPr>
          <w:rFonts w:cstheme="minorHAnsi"/>
          <w:b/>
        </w:rPr>
        <w:t>76</w:t>
      </w:r>
      <w:r w:rsidRPr="00F421BB">
        <w:rPr>
          <w:rFonts w:cstheme="minorHAnsi"/>
        </w:rPr>
        <w:t>(4): p. 376-82.</w:t>
      </w:r>
    </w:p>
    <w:p w14:paraId="4433AD1A" w14:textId="77777777" w:rsidR="00F36C42" w:rsidRPr="00F421BB" w:rsidRDefault="00F36C42" w:rsidP="006118E4">
      <w:pPr>
        <w:spacing w:after="0" w:line="276" w:lineRule="auto"/>
        <w:ind w:left="709" w:hanging="720"/>
        <w:jc w:val="both"/>
        <w:rPr>
          <w:rFonts w:cstheme="minorHAnsi"/>
        </w:rPr>
      </w:pPr>
      <w:r w:rsidRPr="00F421BB">
        <w:rPr>
          <w:rFonts w:cstheme="minorHAnsi"/>
        </w:rPr>
        <w:t xml:space="preserve">6.        </w:t>
      </w:r>
      <w:r w:rsidRPr="00F421BB">
        <w:rPr>
          <w:rFonts w:cstheme="minorHAnsi"/>
        </w:rPr>
        <w:tab/>
        <w:t xml:space="preserve">Maiorano, A., et al., </w:t>
      </w:r>
      <w:r w:rsidRPr="00F421BB">
        <w:rPr>
          <w:rFonts w:cstheme="minorHAnsi"/>
          <w:i/>
        </w:rPr>
        <w:t>Sirolimus interferes with iron homeostasis in renal transplant recipients.</w:t>
      </w:r>
      <w:r w:rsidRPr="00F421BB">
        <w:rPr>
          <w:rFonts w:cstheme="minorHAnsi"/>
        </w:rPr>
        <w:t xml:space="preserve"> Transplantation, 2006. </w:t>
      </w:r>
      <w:r w:rsidRPr="00F421BB">
        <w:rPr>
          <w:rFonts w:cstheme="minorHAnsi"/>
          <w:b/>
        </w:rPr>
        <w:t>82</w:t>
      </w:r>
      <w:r w:rsidRPr="00F421BB">
        <w:rPr>
          <w:rFonts w:cstheme="minorHAnsi"/>
        </w:rPr>
        <w:t>(7): p. 908-12.</w:t>
      </w:r>
    </w:p>
    <w:p w14:paraId="0D8490F2" w14:textId="77777777" w:rsidR="00F36C42" w:rsidRPr="00F421BB" w:rsidRDefault="00F36C42" w:rsidP="006118E4">
      <w:pPr>
        <w:spacing w:after="0" w:line="276" w:lineRule="auto"/>
        <w:ind w:left="709" w:hanging="720"/>
        <w:jc w:val="both"/>
        <w:rPr>
          <w:rFonts w:cstheme="minorHAnsi"/>
        </w:rPr>
      </w:pPr>
      <w:r w:rsidRPr="00F421BB">
        <w:rPr>
          <w:rFonts w:cstheme="minorHAnsi"/>
        </w:rPr>
        <w:t xml:space="preserve">7.        </w:t>
      </w:r>
      <w:r w:rsidRPr="00F421BB">
        <w:rPr>
          <w:rFonts w:cstheme="minorHAnsi"/>
        </w:rPr>
        <w:tab/>
        <w:t xml:space="preserve">Burnett, H.F., et al., </w:t>
      </w:r>
      <w:r w:rsidRPr="00F421BB">
        <w:rPr>
          <w:rFonts w:cstheme="minorHAnsi"/>
          <w:i/>
        </w:rPr>
        <w:t>Testing for thiopurine methyltransferase status for safe and effective thiopurine administration: a systematic review of clinical guidance documents.</w:t>
      </w:r>
      <w:r w:rsidRPr="00F421BB">
        <w:rPr>
          <w:rFonts w:cstheme="minorHAnsi"/>
        </w:rPr>
        <w:t xml:space="preserve"> The Pharmacogenomics Journal, 2014. </w:t>
      </w:r>
      <w:r w:rsidRPr="00F421BB">
        <w:rPr>
          <w:rFonts w:cstheme="minorHAnsi"/>
          <w:b/>
        </w:rPr>
        <w:t>14</w:t>
      </w:r>
      <w:r w:rsidRPr="00F421BB">
        <w:rPr>
          <w:rFonts w:cstheme="minorHAnsi"/>
        </w:rPr>
        <w:t>(6): p. 493-502.</w:t>
      </w:r>
    </w:p>
    <w:p w14:paraId="31B946DE" w14:textId="77777777" w:rsidR="00F36C42" w:rsidRPr="00F421BB" w:rsidRDefault="00F36C42" w:rsidP="006118E4">
      <w:pPr>
        <w:spacing w:after="0" w:line="276" w:lineRule="auto"/>
        <w:ind w:left="709" w:hanging="720"/>
        <w:jc w:val="both"/>
        <w:rPr>
          <w:rFonts w:cstheme="minorHAnsi"/>
        </w:rPr>
      </w:pPr>
      <w:r w:rsidRPr="00F421BB">
        <w:rPr>
          <w:rFonts w:cstheme="minorHAnsi"/>
        </w:rPr>
        <w:t xml:space="preserve">8.        </w:t>
      </w:r>
      <w:r w:rsidRPr="00F421BB">
        <w:rPr>
          <w:rFonts w:cstheme="minorHAnsi"/>
        </w:rPr>
        <w:tab/>
        <w:t xml:space="preserve">Kuypers, D.R., et al., </w:t>
      </w:r>
      <w:r w:rsidRPr="00F421BB">
        <w:rPr>
          <w:rFonts w:cstheme="minorHAnsi"/>
          <w:i/>
        </w:rPr>
        <w:t>Current target ranges of mycophenolic acid exposure and drug-related adverse events: a 5-year, open-label, prospective, clinical follow-up study in renal allograft recipients.</w:t>
      </w:r>
      <w:r w:rsidRPr="00F421BB">
        <w:rPr>
          <w:rFonts w:cstheme="minorHAnsi"/>
        </w:rPr>
        <w:t xml:space="preserve"> Clin Ther, 2008. </w:t>
      </w:r>
      <w:r w:rsidRPr="00F421BB">
        <w:rPr>
          <w:rFonts w:cstheme="minorHAnsi"/>
          <w:b/>
        </w:rPr>
        <w:t>30</w:t>
      </w:r>
      <w:r w:rsidRPr="00F421BB">
        <w:rPr>
          <w:rFonts w:cstheme="minorHAnsi"/>
        </w:rPr>
        <w:t>(4): p. 673-83.</w:t>
      </w:r>
    </w:p>
    <w:p w14:paraId="2BE079E8" w14:textId="77777777" w:rsidR="00F36C42" w:rsidRPr="00F421BB" w:rsidRDefault="00F36C42" w:rsidP="006118E4">
      <w:pPr>
        <w:spacing w:after="0" w:line="276" w:lineRule="auto"/>
        <w:ind w:left="709" w:hanging="720"/>
        <w:jc w:val="both"/>
        <w:rPr>
          <w:rFonts w:cstheme="minorHAnsi"/>
        </w:rPr>
      </w:pPr>
      <w:r w:rsidRPr="00F421BB">
        <w:rPr>
          <w:rFonts w:cstheme="minorHAnsi"/>
        </w:rPr>
        <w:t xml:space="preserve">9.        </w:t>
      </w:r>
      <w:r w:rsidRPr="00F421BB">
        <w:rPr>
          <w:rFonts w:cstheme="minorHAnsi"/>
        </w:rPr>
        <w:tab/>
        <w:t xml:space="preserve">Cattaneo, D., et al., </w:t>
      </w:r>
      <w:r w:rsidRPr="00F421BB">
        <w:rPr>
          <w:rFonts w:cstheme="minorHAnsi"/>
          <w:i/>
        </w:rPr>
        <w:t>Pharmacokinetics help optimizing mycophenolate mofetil dosing in kidney transplant patients.</w:t>
      </w:r>
      <w:r w:rsidRPr="00F421BB">
        <w:rPr>
          <w:rFonts w:cstheme="minorHAnsi"/>
        </w:rPr>
        <w:t xml:space="preserve"> Clin Transplant, 2001. </w:t>
      </w:r>
      <w:r w:rsidRPr="00F421BB">
        <w:rPr>
          <w:rFonts w:cstheme="minorHAnsi"/>
          <w:b/>
        </w:rPr>
        <w:t>15</w:t>
      </w:r>
      <w:r w:rsidRPr="00F421BB">
        <w:rPr>
          <w:rFonts w:cstheme="minorHAnsi"/>
        </w:rPr>
        <w:t>(6): p. 402-9.</w:t>
      </w:r>
    </w:p>
    <w:p w14:paraId="5DB18927" w14:textId="77777777" w:rsidR="00F36C42" w:rsidRPr="00F421BB" w:rsidRDefault="00F36C42" w:rsidP="006118E4">
      <w:pPr>
        <w:spacing w:after="0" w:line="276" w:lineRule="auto"/>
        <w:ind w:left="709" w:hanging="720"/>
        <w:jc w:val="both"/>
        <w:rPr>
          <w:rFonts w:cstheme="minorHAnsi"/>
        </w:rPr>
      </w:pPr>
      <w:r w:rsidRPr="00F421BB">
        <w:rPr>
          <w:rFonts w:cstheme="minorHAnsi"/>
        </w:rPr>
        <w:t xml:space="preserve">10.      </w:t>
      </w:r>
      <w:r w:rsidRPr="00F421BB">
        <w:rPr>
          <w:rFonts w:cstheme="minorHAnsi"/>
        </w:rPr>
        <w:tab/>
        <w:t xml:space="preserve">Bouquegneau, A., et al., </w:t>
      </w:r>
      <w:r w:rsidRPr="00F421BB">
        <w:rPr>
          <w:rFonts w:cstheme="minorHAnsi"/>
          <w:i/>
        </w:rPr>
        <w:t>Bone Disease after Kidney Transplantation.</w:t>
      </w:r>
      <w:r w:rsidRPr="00F421BB">
        <w:rPr>
          <w:rFonts w:cstheme="minorHAnsi"/>
        </w:rPr>
        <w:t xml:space="preserve"> Clinical Journal of the American Society of Nephrology, 2016. </w:t>
      </w:r>
      <w:r w:rsidRPr="00F421BB">
        <w:rPr>
          <w:rFonts w:cstheme="minorHAnsi"/>
          <w:b/>
        </w:rPr>
        <w:t>11</w:t>
      </w:r>
      <w:r w:rsidRPr="00F421BB">
        <w:rPr>
          <w:rFonts w:cstheme="minorHAnsi"/>
        </w:rPr>
        <w:t>(7): p. 1282-1296.</w:t>
      </w:r>
    </w:p>
    <w:p w14:paraId="7EE78F21" w14:textId="77777777" w:rsidR="00F36C42" w:rsidRPr="00F421BB" w:rsidRDefault="00F36C42" w:rsidP="006118E4">
      <w:pPr>
        <w:spacing w:after="0" w:line="276" w:lineRule="auto"/>
        <w:ind w:left="709" w:hanging="720"/>
        <w:jc w:val="both"/>
        <w:rPr>
          <w:rFonts w:cstheme="minorHAnsi"/>
        </w:rPr>
      </w:pPr>
      <w:r w:rsidRPr="00F421BB">
        <w:rPr>
          <w:rFonts w:cstheme="minorHAnsi"/>
        </w:rPr>
        <w:t xml:space="preserve">11.      </w:t>
      </w:r>
      <w:r w:rsidRPr="00F421BB">
        <w:rPr>
          <w:rFonts w:cstheme="minorHAnsi"/>
        </w:rPr>
        <w:tab/>
        <w:t xml:space="preserve">Vangala, C., et al., </w:t>
      </w:r>
      <w:r w:rsidRPr="00F421BB">
        <w:rPr>
          <w:rFonts w:cstheme="minorHAnsi"/>
          <w:i/>
        </w:rPr>
        <w:t>Mineral and Bone Disorders After Kidney Transplantation.</w:t>
      </w:r>
      <w:r w:rsidRPr="00F421BB">
        <w:rPr>
          <w:rFonts w:cstheme="minorHAnsi"/>
        </w:rPr>
        <w:t xml:space="preserve"> Frontiers in Medicine, 2018. </w:t>
      </w:r>
      <w:r w:rsidRPr="00F421BB">
        <w:rPr>
          <w:rFonts w:cstheme="minorHAnsi"/>
          <w:b/>
        </w:rPr>
        <w:t>5</w:t>
      </w:r>
      <w:r w:rsidRPr="00F421BB">
        <w:rPr>
          <w:rFonts w:cstheme="minorHAnsi"/>
        </w:rPr>
        <w:t>(211).</w:t>
      </w:r>
    </w:p>
    <w:p w14:paraId="146AEFC2" w14:textId="77777777" w:rsidR="00F36C42" w:rsidRPr="00F421BB" w:rsidRDefault="00F36C42" w:rsidP="006118E4">
      <w:pPr>
        <w:spacing w:after="0" w:line="276" w:lineRule="auto"/>
        <w:ind w:left="709" w:hanging="720"/>
        <w:jc w:val="both"/>
        <w:rPr>
          <w:rFonts w:cstheme="minorHAnsi"/>
        </w:rPr>
      </w:pPr>
      <w:r w:rsidRPr="00F421BB">
        <w:rPr>
          <w:rFonts w:cstheme="minorHAnsi"/>
        </w:rPr>
        <w:t xml:space="preserve">12.      </w:t>
      </w:r>
      <w:r w:rsidRPr="00F421BB">
        <w:rPr>
          <w:rFonts w:cstheme="minorHAnsi"/>
        </w:rPr>
        <w:tab/>
      </w:r>
      <w:r w:rsidRPr="00F421BB">
        <w:rPr>
          <w:rFonts w:cstheme="minorHAnsi"/>
          <w:i/>
        </w:rPr>
        <w:t>KDIGO 2017 Clinical Practice Guideline Update for the Diagnosis, Evaluation, Prevention, and Treatment of Chronic Kidney Disease-Mineral and Bone Disorder (CKD-MBD).</w:t>
      </w:r>
      <w:r w:rsidRPr="00F421BB">
        <w:rPr>
          <w:rFonts w:cstheme="minorHAnsi"/>
        </w:rPr>
        <w:t xml:space="preserve"> Kidney Int Suppl (2011), 2017. </w:t>
      </w:r>
      <w:r w:rsidRPr="00F421BB">
        <w:rPr>
          <w:rFonts w:cstheme="minorHAnsi"/>
          <w:b/>
        </w:rPr>
        <w:t>7</w:t>
      </w:r>
      <w:r w:rsidRPr="00F421BB">
        <w:rPr>
          <w:rFonts w:cstheme="minorHAnsi"/>
        </w:rPr>
        <w:t>(1): p. 1-59.</w:t>
      </w:r>
    </w:p>
    <w:p w14:paraId="657CA83C" w14:textId="77777777" w:rsidR="00F36C42" w:rsidRPr="00F421BB" w:rsidRDefault="00F36C42" w:rsidP="006118E4">
      <w:pPr>
        <w:spacing w:after="0" w:line="276" w:lineRule="auto"/>
        <w:ind w:left="709" w:hanging="720"/>
        <w:jc w:val="both"/>
        <w:rPr>
          <w:rFonts w:cstheme="minorHAnsi"/>
        </w:rPr>
      </w:pPr>
      <w:r w:rsidRPr="00F421BB">
        <w:rPr>
          <w:rFonts w:cstheme="minorHAnsi"/>
        </w:rPr>
        <w:t xml:space="preserve">13.      </w:t>
      </w:r>
      <w:r w:rsidRPr="00F421BB">
        <w:rPr>
          <w:rFonts w:cstheme="minorHAnsi"/>
        </w:rPr>
        <w:tab/>
        <w:t xml:space="preserve">Schulte, K., et al., </w:t>
      </w:r>
      <w:r w:rsidRPr="00F421BB">
        <w:rPr>
          <w:rFonts w:cstheme="minorHAnsi"/>
          <w:i/>
        </w:rPr>
        <w:t xml:space="preserve">Effect of Sodium Bicarbonate in Kidney Transplant Recipients </w:t>
      </w:r>
      <w:proofErr w:type="gramStart"/>
      <w:r w:rsidRPr="00F421BB">
        <w:rPr>
          <w:rFonts w:cstheme="minorHAnsi"/>
          <w:i/>
        </w:rPr>
        <w:t>With</w:t>
      </w:r>
      <w:proofErr w:type="gramEnd"/>
      <w:r w:rsidRPr="00F421BB">
        <w:rPr>
          <w:rFonts w:cstheme="minorHAnsi"/>
          <w:i/>
        </w:rPr>
        <w:t xml:space="preserve"> Chronic Metabolic Acidosis.</w:t>
      </w:r>
      <w:r w:rsidRPr="00F421BB">
        <w:rPr>
          <w:rFonts w:cstheme="minorHAnsi"/>
        </w:rPr>
        <w:t xml:space="preserve"> Transplant Direct, 2019. </w:t>
      </w:r>
      <w:r w:rsidRPr="00F421BB">
        <w:rPr>
          <w:rFonts w:cstheme="minorHAnsi"/>
          <w:b/>
        </w:rPr>
        <w:t>5</w:t>
      </w:r>
      <w:r w:rsidRPr="00F421BB">
        <w:rPr>
          <w:rFonts w:cstheme="minorHAnsi"/>
        </w:rPr>
        <w:t>(7): p. e464.</w:t>
      </w:r>
    </w:p>
    <w:p w14:paraId="7A4EFFED" w14:textId="77777777" w:rsidR="00F36C42" w:rsidRPr="00F421BB" w:rsidRDefault="00F36C42" w:rsidP="006118E4">
      <w:pPr>
        <w:spacing w:after="0" w:line="276" w:lineRule="auto"/>
        <w:ind w:left="709" w:hanging="720"/>
        <w:jc w:val="both"/>
        <w:rPr>
          <w:rFonts w:cstheme="minorHAnsi"/>
        </w:rPr>
      </w:pPr>
      <w:r w:rsidRPr="00F421BB">
        <w:rPr>
          <w:rFonts w:cstheme="minorHAnsi"/>
        </w:rPr>
        <w:t xml:space="preserve">14.      </w:t>
      </w:r>
      <w:r w:rsidRPr="00F421BB">
        <w:rPr>
          <w:rFonts w:cstheme="minorHAnsi"/>
        </w:rPr>
        <w:tab/>
        <w:t xml:space="preserve">Chen, W. and M.K. Abramowitz, </w:t>
      </w:r>
      <w:r w:rsidRPr="00F421BB">
        <w:rPr>
          <w:rFonts w:cstheme="minorHAnsi"/>
          <w:i/>
        </w:rPr>
        <w:t>Treatment of metabolic acidosis in patients with CKD.</w:t>
      </w:r>
      <w:r w:rsidRPr="00F421BB">
        <w:rPr>
          <w:rFonts w:cstheme="minorHAnsi"/>
        </w:rPr>
        <w:t xml:space="preserve"> Am J Kidney Dis, 2014. </w:t>
      </w:r>
      <w:r w:rsidRPr="00F421BB">
        <w:rPr>
          <w:rFonts w:cstheme="minorHAnsi"/>
          <w:b/>
        </w:rPr>
        <w:t>63</w:t>
      </w:r>
      <w:r w:rsidRPr="00F421BB">
        <w:rPr>
          <w:rFonts w:cstheme="minorHAnsi"/>
        </w:rPr>
        <w:t>(2): p. 311-7.</w:t>
      </w:r>
    </w:p>
    <w:p w14:paraId="43BD2A26" w14:textId="77777777" w:rsidR="00F36C42" w:rsidRPr="00F421BB" w:rsidRDefault="00F36C42" w:rsidP="006118E4">
      <w:pPr>
        <w:spacing w:after="0" w:line="276" w:lineRule="auto"/>
        <w:ind w:left="709" w:hanging="720"/>
        <w:jc w:val="both"/>
        <w:rPr>
          <w:rFonts w:cstheme="minorHAnsi"/>
        </w:rPr>
      </w:pPr>
      <w:r w:rsidRPr="00F421BB">
        <w:rPr>
          <w:rFonts w:cstheme="minorHAnsi"/>
        </w:rPr>
        <w:lastRenderedPageBreak/>
        <w:t xml:space="preserve">15.      </w:t>
      </w:r>
      <w:r w:rsidRPr="00F421BB">
        <w:rPr>
          <w:rFonts w:cstheme="minorHAnsi"/>
        </w:rPr>
        <w:tab/>
      </w:r>
      <w:r w:rsidRPr="00F421BB">
        <w:rPr>
          <w:rFonts w:cstheme="minorHAnsi"/>
          <w:i/>
        </w:rPr>
        <w:t>KDIGO 2012 Clinical Practice Guideline for the Evaluation and Management of Chronic Kidney Disease. Kidney inter., Suppl. 2013; 3: 1–150.</w:t>
      </w:r>
    </w:p>
    <w:p w14:paraId="4B06C1CE" w14:textId="7104EAFB" w:rsidR="00F36C42" w:rsidRDefault="00F36C42" w:rsidP="006118E4">
      <w:pPr>
        <w:jc w:val="both"/>
        <w:rPr>
          <w:rFonts w:cstheme="minorHAnsi"/>
        </w:rPr>
      </w:pPr>
    </w:p>
    <w:p w14:paraId="23A9936D" w14:textId="77777777" w:rsidR="00EB6556" w:rsidRDefault="00EB6556" w:rsidP="00EB6556">
      <w:pPr>
        <w:pStyle w:val="Heading1"/>
      </w:pPr>
      <w:bookmarkStart w:id="126" w:name="_Toc128330031"/>
      <w:r w:rsidRPr="00713B3E">
        <w:t>9 MANAGEMENT OF THE COMPLICATIONS OF LONG-TERM IMMUNOSUPPRESSION</w:t>
      </w:r>
      <w:bookmarkEnd w:id="126"/>
    </w:p>
    <w:p w14:paraId="3B897F5C" w14:textId="77777777" w:rsidR="00EB6556" w:rsidRPr="008237F6" w:rsidRDefault="00EB6556" w:rsidP="00CB0C37">
      <w:pPr>
        <w:spacing w:line="276" w:lineRule="auto"/>
      </w:pPr>
      <w:r>
        <w:t>Although not specific to this group, many patients with a failing graft have been subject to long-term immunosuppression and we have covered some of the most common complications this treatment can cause.</w:t>
      </w:r>
    </w:p>
    <w:p w14:paraId="24E7C032" w14:textId="77777777" w:rsidR="00EB6556" w:rsidRDefault="00EB6556" w:rsidP="00C50D4D">
      <w:pPr>
        <w:pStyle w:val="Heading2"/>
      </w:pPr>
      <w:bookmarkStart w:id="127" w:name="_Toc128330032"/>
      <w:r>
        <w:t xml:space="preserve">9.1 </w:t>
      </w:r>
      <w:r w:rsidRPr="00972384">
        <w:t>Malignancy</w:t>
      </w:r>
      <w:bookmarkEnd w:id="127"/>
      <w:r w:rsidRPr="00713B3E">
        <w:t xml:space="preserve"> </w:t>
      </w:r>
    </w:p>
    <w:p w14:paraId="69C4F47C" w14:textId="77777777" w:rsidR="00EB6556" w:rsidRDefault="00EB6556" w:rsidP="00C446C7">
      <w:pPr>
        <w:pStyle w:val="Heading3"/>
        <w:rPr>
          <w:vertAlign w:val="superscript"/>
        </w:rPr>
      </w:pPr>
      <w:bookmarkStart w:id="128" w:name="_Toc128330033"/>
      <w:r>
        <w:t xml:space="preserve">9.1.1 </w:t>
      </w:r>
      <w:r w:rsidRPr="00713B3E">
        <w:t>Post-Transplant Lymphoproliferative Disorders (PTLD)</w:t>
      </w:r>
      <w:bookmarkEnd w:id="128"/>
      <w:r w:rsidRPr="00713B3E">
        <w:rPr>
          <w:vertAlign w:val="superscript"/>
        </w:rPr>
        <w:t xml:space="preserve"> </w:t>
      </w:r>
    </w:p>
    <w:p w14:paraId="43E42D56" w14:textId="77777777" w:rsidR="00EB6556" w:rsidRPr="00C446C7" w:rsidRDefault="00EB6556" w:rsidP="00C446C7">
      <w:pPr>
        <w:pStyle w:val="Heading3"/>
      </w:pPr>
      <w:bookmarkStart w:id="129" w:name="_Toc128330034"/>
      <w:r w:rsidRPr="00C446C7">
        <w:t>Statements of Recommendation</w:t>
      </w:r>
      <w:bookmarkEnd w:id="129"/>
    </w:p>
    <w:p w14:paraId="23AC127D" w14:textId="77777777" w:rsidR="00EB6556" w:rsidRPr="00713B3E" w:rsidRDefault="00EB6556" w:rsidP="00CB0C37">
      <w:r w:rsidRPr="00713B3E">
        <w:t>We recommend</w:t>
      </w:r>
      <w:r>
        <w:t>:</w:t>
      </w:r>
    </w:p>
    <w:p w14:paraId="1B4DFB83" w14:textId="77777777" w:rsidR="00EB6556" w:rsidRPr="00713B3E" w:rsidRDefault="00EB6556">
      <w:pPr>
        <w:numPr>
          <w:ilvl w:val="0"/>
          <w:numId w:val="24"/>
        </w:numPr>
        <w:shd w:val="clear" w:color="auto" w:fill="FFFFFF"/>
        <w:spacing w:line="276" w:lineRule="auto"/>
        <w:ind w:left="714" w:hanging="357"/>
        <w:jc w:val="both"/>
        <w:rPr>
          <w:rFonts w:cstheme="minorHAnsi"/>
          <w:bCs/>
          <w:color w:val="1C1D1E"/>
        </w:rPr>
      </w:pPr>
      <w:r w:rsidRPr="00713B3E">
        <w:rPr>
          <w:rFonts w:cstheme="minorHAnsi"/>
          <w:bCs/>
        </w:rPr>
        <w:t>All transplant recipients with PTLD receive joint care including a transplant physician and a specialist haematologist/haemato-oncologist</w:t>
      </w:r>
      <w:r>
        <w:rPr>
          <w:rFonts w:cstheme="minorHAnsi"/>
          <w:bCs/>
        </w:rPr>
        <w:t>.</w:t>
      </w:r>
      <w:r w:rsidRPr="00713B3E">
        <w:rPr>
          <w:rFonts w:cstheme="minorHAnsi"/>
          <w:bCs/>
        </w:rPr>
        <w:t xml:space="preserve"> (</w:t>
      </w:r>
      <w:r w:rsidRPr="00C50D4D">
        <w:rPr>
          <w:rFonts w:cstheme="minorHAnsi"/>
          <w:bCs/>
        </w:rPr>
        <w:t>1A</w:t>
      </w:r>
      <w:r w:rsidRPr="00713B3E">
        <w:rPr>
          <w:rFonts w:cstheme="minorHAnsi"/>
          <w:bCs/>
        </w:rPr>
        <w:t>)</w:t>
      </w:r>
    </w:p>
    <w:p w14:paraId="19B6899D" w14:textId="77777777" w:rsidR="00EB6556" w:rsidRPr="00713B3E" w:rsidRDefault="00EB6556">
      <w:pPr>
        <w:numPr>
          <w:ilvl w:val="0"/>
          <w:numId w:val="24"/>
        </w:numPr>
        <w:shd w:val="clear" w:color="auto" w:fill="FFFFFF"/>
        <w:spacing w:line="276" w:lineRule="auto"/>
        <w:ind w:left="714" w:hanging="357"/>
        <w:jc w:val="both"/>
        <w:rPr>
          <w:rFonts w:cstheme="minorHAnsi"/>
          <w:bCs/>
          <w:color w:val="1C1D1E"/>
        </w:rPr>
      </w:pPr>
      <w:r w:rsidRPr="00713B3E">
        <w:rPr>
          <w:rFonts w:cstheme="minorHAnsi"/>
          <w:bCs/>
          <w:color w:val="1C1D1E"/>
        </w:rPr>
        <w:t xml:space="preserve">Sequential reduction in immunosuppression (RIS) with </w:t>
      </w:r>
      <w:r>
        <w:rPr>
          <w:rFonts w:cstheme="minorHAnsi"/>
          <w:bCs/>
          <w:color w:val="1C1D1E"/>
        </w:rPr>
        <w:t xml:space="preserve">an </w:t>
      </w:r>
      <w:r w:rsidRPr="00713B3E">
        <w:rPr>
          <w:rFonts w:cstheme="minorHAnsi"/>
          <w:bCs/>
          <w:color w:val="1C1D1E"/>
        </w:rPr>
        <w:t xml:space="preserve">initial withdrawal of anti-proliferative agent followed by a reduction of </w:t>
      </w:r>
      <w:r>
        <w:rPr>
          <w:rFonts w:cstheme="minorHAnsi"/>
          <w:bCs/>
          <w:color w:val="1C1D1E"/>
        </w:rPr>
        <w:t>calcineurin inhibitor (</w:t>
      </w:r>
      <w:r w:rsidRPr="00713B3E">
        <w:rPr>
          <w:rFonts w:cstheme="minorHAnsi"/>
          <w:bCs/>
          <w:color w:val="1C1D1E"/>
        </w:rPr>
        <w:t>CNI</w:t>
      </w:r>
      <w:r>
        <w:rPr>
          <w:rFonts w:cstheme="minorHAnsi"/>
          <w:bCs/>
          <w:color w:val="1C1D1E"/>
        </w:rPr>
        <w:t>)</w:t>
      </w:r>
      <w:r w:rsidRPr="00713B3E">
        <w:rPr>
          <w:rFonts w:cstheme="minorHAnsi"/>
          <w:bCs/>
          <w:color w:val="1C1D1E"/>
        </w:rPr>
        <w:t xml:space="preserve"> dose by 30–50% whilst maintaining or reducing corticosteroids, with surveillance of graft function</w:t>
      </w:r>
      <w:r>
        <w:rPr>
          <w:rFonts w:cstheme="minorHAnsi"/>
          <w:bCs/>
          <w:color w:val="1C1D1E"/>
        </w:rPr>
        <w:t>.</w:t>
      </w:r>
      <w:r w:rsidRPr="00713B3E">
        <w:rPr>
          <w:rFonts w:cstheme="minorHAnsi"/>
          <w:bCs/>
          <w:color w:val="1C1D1E"/>
        </w:rPr>
        <w:t xml:space="preserve"> (</w:t>
      </w:r>
      <w:r w:rsidRPr="00C50D4D">
        <w:rPr>
          <w:rFonts w:cstheme="minorHAnsi"/>
          <w:bCs/>
          <w:color w:val="1C1D1E"/>
        </w:rPr>
        <w:t>1B</w:t>
      </w:r>
      <w:r w:rsidRPr="00713B3E">
        <w:rPr>
          <w:rFonts w:cstheme="minorHAnsi"/>
          <w:bCs/>
          <w:color w:val="1C1D1E"/>
        </w:rPr>
        <w:t>)</w:t>
      </w:r>
    </w:p>
    <w:p w14:paraId="0ACA0848" w14:textId="77777777" w:rsidR="00EB6556" w:rsidRPr="00713B3E" w:rsidRDefault="00EB6556">
      <w:pPr>
        <w:numPr>
          <w:ilvl w:val="0"/>
          <w:numId w:val="24"/>
        </w:numPr>
        <w:shd w:val="clear" w:color="auto" w:fill="FFFFFF"/>
        <w:spacing w:line="276" w:lineRule="auto"/>
        <w:ind w:left="714" w:hanging="357"/>
        <w:jc w:val="both"/>
        <w:rPr>
          <w:rFonts w:cstheme="minorHAnsi"/>
          <w:bCs/>
          <w:color w:val="1C1D1E"/>
        </w:rPr>
      </w:pPr>
      <w:r w:rsidRPr="00713B3E">
        <w:rPr>
          <w:rFonts w:cstheme="minorHAnsi"/>
          <w:bCs/>
          <w:color w:val="1C1D1E"/>
        </w:rPr>
        <w:t>Early disease response assessment (at 2–4 weeks) is recommended in those patients following RIS alone so that further treatment (chemotherapy) can be initiated in those that fail to respond</w:t>
      </w:r>
      <w:r>
        <w:rPr>
          <w:rFonts w:cstheme="minorHAnsi"/>
          <w:bCs/>
          <w:color w:val="1C1D1E"/>
        </w:rPr>
        <w:t>.</w:t>
      </w:r>
      <w:r w:rsidRPr="00713B3E">
        <w:rPr>
          <w:rFonts w:cstheme="minorHAnsi"/>
          <w:bCs/>
          <w:color w:val="1C1D1E"/>
        </w:rPr>
        <w:t xml:space="preserve"> (</w:t>
      </w:r>
      <w:r w:rsidRPr="00C50D4D">
        <w:rPr>
          <w:rFonts w:cstheme="minorHAnsi"/>
          <w:bCs/>
          <w:color w:val="1C1D1E"/>
        </w:rPr>
        <w:t>1B</w:t>
      </w:r>
      <w:r w:rsidRPr="00713B3E">
        <w:rPr>
          <w:rFonts w:cstheme="minorHAnsi"/>
          <w:bCs/>
          <w:color w:val="1C1D1E"/>
        </w:rPr>
        <w:t>)</w:t>
      </w:r>
    </w:p>
    <w:p w14:paraId="03AC6722" w14:textId="77777777" w:rsidR="00EB6556" w:rsidRPr="00713B3E" w:rsidRDefault="00EB6556">
      <w:pPr>
        <w:numPr>
          <w:ilvl w:val="0"/>
          <w:numId w:val="24"/>
        </w:numPr>
        <w:shd w:val="clear" w:color="auto" w:fill="FFFFFF"/>
        <w:spacing w:line="276" w:lineRule="auto"/>
        <w:ind w:left="714" w:hanging="357"/>
        <w:jc w:val="both"/>
        <w:rPr>
          <w:rFonts w:cstheme="minorHAnsi"/>
          <w:bCs/>
          <w:color w:val="1C1D1E"/>
        </w:rPr>
      </w:pPr>
      <w:r w:rsidRPr="00713B3E">
        <w:rPr>
          <w:rFonts w:cstheme="minorHAnsi"/>
          <w:bCs/>
        </w:rPr>
        <w:t>In the context of a failing kidney transplant, the objective of treatment should be</w:t>
      </w:r>
      <w:r w:rsidRPr="00713B3E">
        <w:rPr>
          <w:rFonts w:cstheme="minorHAnsi"/>
          <w:bCs/>
          <w:color w:val="1C1D1E"/>
        </w:rPr>
        <w:t xml:space="preserve"> to </w:t>
      </w:r>
      <w:r w:rsidRPr="00713B3E">
        <w:rPr>
          <w:rFonts w:cstheme="minorHAnsi"/>
          <w:bCs/>
        </w:rPr>
        <w:t xml:space="preserve">achieve complete remission of lymphoma with curative intent both to improve prognosis and to enable </w:t>
      </w:r>
      <w:r>
        <w:rPr>
          <w:rFonts w:cstheme="minorHAnsi"/>
          <w:bCs/>
        </w:rPr>
        <w:t>re-transplantation.</w:t>
      </w:r>
      <w:r w:rsidRPr="00713B3E">
        <w:rPr>
          <w:rFonts w:cstheme="minorHAnsi"/>
          <w:bCs/>
        </w:rPr>
        <w:t xml:space="preserve"> (</w:t>
      </w:r>
      <w:r w:rsidRPr="00C50D4D">
        <w:rPr>
          <w:rFonts w:cstheme="minorHAnsi"/>
          <w:bCs/>
        </w:rPr>
        <w:t>Ungraded</w:t>
      </w:r>
      <w:r w:rsidRPr="00713B3E">
        <w:rPr>
          <w:rFonts w:cstheme="minorHAnsi"/>
          <w:bCs/>
        </w:rPr>
        <w:t xml:space="preserve">)  </w:t>
      </w:r>
    </w:p>
    <w:p w14:paraId="07FD46F1" w14:textId="77777777" w:rsidR="00EB6556" w:rsidRPr="00713B3E" w:rsidRDefault="00EB6556">
      <w:pPr>
        <w:numPr>
          <w:ilvl w:val="0"/>
          <w:numId w:val="24"/>
        </w:numPr>
        <w:shd w:val="clear" w:color="auto" w:fill="FFFFFF"/>
        <w:spacing w:line="276" w:lineRule="auto"/>
        <w:ind w:left="714" w:hanging="357"/>
        <w:jc w:val="both"/>
        <w:rPr>
          <w:rFonts w:cstheme="minorHAnsi"/>
          <w:bCs/>
          <w:color w:val="1C1D1E"/>
        </w:rPr>
      </w:pPr>
      <w:r w:rsidRPr="00713B3E">
        <w:rPr>
          <w:rFonts w:cstheme="minorHAnsi"/>
          <w:bCs/>
        </w:rPr>
        <w:t xml:space="preserve">Re-transplantation can be considered after a minimum of 1-year </w:t>
      </w:r>
      <w:r>
        <w:rPr>
          <w:rFonts w:cstheme="minorHAnsi"/>
          <w:bCs/>
        </w:rPr>
        <w:t>disease-free</w:t>
      </w:r>
      <w:r w:rsidRPr="00713B3E">
        <w:rPr>
          <w:rFonts w:cstheme="minorHAnsi"/>
          <w:bCs/>
        </w:rPr>
        <w:t xml:space="preserve"> period following remission, but a longer period may be needed in selected cases</w:t>
      </w:r>
      <w:r>
        <w:rPr>
          <w:rFonts w:cstheme="minorHAnsi"/>
          <w:bCs/>
        </w:rPr>
        <w:t>.</w:t>
      </w:r>
      <w:r w:rsidRPr="00713B3E">
        <w:rPr>
          <w:rFonts w:cstheme="minorHAnsi"/>
          <w:bCs/>
        </w:rPr>
        <w:t xml:space="preserve"> (</w:t>
      </w:r>
      <w:r w:rsidRPr="00C50D4D">
        <w:rPr>
          <w:rFonts w:cstheme="minorHAnsi"/>
          <w:bCs/>
        </w:rPr>
        <w:t>2C</w:t>
      </w:r>
      <w:r w:rsidRPr="00713B3E">
        <w:rPr>
          <w:rFonts w:cstheme="minorHAnsi"/>
          <w:bCs/>
        </w:rPr>
        <w:t>)</w:t>
      </w:r>
    </w:p>
    <w:p w14:paraId="1A9738E3" w14:textId="7A8E6688" w:rsidR="00EB6556" w:rsidRPr="00713B3E" w:rsidRDefault="00EB6556" w:rsidP="00CB0C37">
      <w:r w:rsidRPr="00713B3E">
        <w:t>Recommendations for audit and research</w:t>
      </w:r>
      <w:r w:rsidR="00CB0C37">
        <w:t>:</w:t>
      </w:r>
    </w:p>
    <w:p w14:paraId="366E0BD2" w14:textId="77777777" w:rsidR="00EB6556" w:rsidRPr="00A85D14" w:rsidRDefault="00EB6556" w:rsidP="00346D2E">
      <w:pPr>
        <w:pStyle w:val="ListParagraph"/>
        <w:numPr>
          <w:ilvl w:val="0"/>
          <w:numId w:val="22"/>
        </w:numPr>
      </w:pPr>
      <w:r w:rsidRPr="00A85D14">
        <w:t xml:space="preserve">Incidence of PTLD, histological subtypes, Epstein-Barr virus (EBV) and non-EBV associated lymphoma) in kidney transplant patients and characteristics including demographics, clinical presentation, </w:t>
      </w:r>
      <w:proofErr w:type="gramStart"/>
      <w:r w:rsidRPr="00A85D14">
        <w:t>management</w:t>
      </w:r>
      <w:proofErr w:type="gramEnd"/>
      <w:r w:rsidRPr="00A85D14">
        <w:t xml:space="preserve"> and outcomes.</w:t>
      </w:r>
    </w:p>
    <w:p w14:paraId="36C84956" w14:textId="77777777" w:rsidR="00EB6556" w:rsidRPr="00A85D14" w:rsidRDefault="00EB6556" w:rsidP="00346D2E">
      <w:pPr>
        <w:pStyle w:val="ListParagraph"/>
        <w:numPr>
          <w:ilvl w:val="0"/>
          <w:numId w:val="22"/>
        </w:numPr>
      </w:pPr>
      <w:r w:rsidRPr="00A85D14">
        <w:t>Re-transplantation rates and outcomes in patients with previous PTLD.</w:t>
      </w:r>
    </w:p>
    <w:p w14:paraId="3CB23E1C" w14:textId="77777777" w:rsidR="00EB6556" w:rsidRPr="00A85D14" w:rsidRDefault="00EB6556" w:rsidP="00346D2E">
      <w:pPr>
        <w:pStyle w:val="ListParagraph"/>
        <w:numPr>
          <w:ilvl w:val="0"/>
          <w:numId w:val="22"/>
        </w:numPr>
      </w:pPr>
      <w:r w:rsidRPr="00A85D14">
        <w:t>The role of EBV-specific cytotoxic T-lymphocytes in the management of post-transplant lymphoma.</w:t>
      </w:r>
    </w:p>
    <w:p w14:paraId="1D059828" w14:textId="2BC5EF05" w:rsidR="00EB6556" w:rsidRDefault="00EB6556" w:rsidP="00C446C7">
      <w:pPr>
        <w:pStyle w:val="Heading3"/>
      </w:pPr>
      <w:bookmarkStart w:id="130" w:name="_Toc128330035"/>
      <w:r w:rsidRPr="00713B3E">
        <w:t>Rationale</w:t>
      </w:r>
      <w:bookmarkEnd w:id="130"/>
    </w:p>
    <w:p w14:paraId="7AAB0427" w14:textId="77777777" w:rsidR="00EB6556" w:rsidRPr="00713B3E" w:rsidRDefault="00EB6556" w:rsidP="00C50D4D">
      <w:pPr>
        <w:spacing w:line="276" w:lineRule="auto"/>
        <w:jc w:val="both"/>
        <w:rPr>
          <w:rFonts w:cstheme="minorHAnsi"/>
        </w:rPr>
      </w:pPr>
      <w:r w:rsidRPr="00713B3E">
        <w:rPr>
          <w:rFonts w:cstheme="minorHAnsi"/>
        </w:rPr>
        <w:t xml:space="preserve">Post-transplant lymphoproliferative disorders (PTLD) arise due to lymphoid or plasmacytoid proliferation in the context of immunosuppression (IS) following a solid organ transplant (SOT). PTLD accounts for 21% of all cancers in SOT recipients whereas lymphomas account for only 4-5% of all cancers in the immunocompetent population </w:t>
      </w:r>
      <w:r w:rsidRPr="00713B3E">
        <w:rPr>
          <w:rFonts w:cstheme="minorHAnsi"/>
          <w:vertAlign w:val="superscript"/>
        </w:rPr>
        <w:t>1,3</w:t>
      </w:r>
      <w:r w:rsidRPr="00713B3E">
        <w:rPr>
          <w:rFonts w:cstheme="minorHAnsi"/>
        </w:rPr>
        <w:t xml:space="preserve">.  Although most cases are reported within one year of transplant, presentation beyond one year is not uncommon. Compared to other organs, kidney </w:t>
      </w:r>
      <w:r w:rsidRPr="00713B3E">
        <w:rPr>
          <w:rFonts w:cstheme="minorHAnsi"/>
        </w:rPr>
        <w:lastRenderedPageBreak/>
        <w:t>transplant recipients (KTR) have the lowest incidence of PTLD (0.8-2.5%)</w:t>
      </w:r>
      <w:r w:rsidRPr="00713B3E">
        <w:rPr>
          <w:rFonts w:cstheme="minorHAnsi"/>
          <w:vertAlign w:val="superscript"/>
        </w:rPr>
        <w:t>1,2</w:t>
      </w:r>
      <w:r w:rsidRPr="00713B3E">
        <w:rPr>
          <w:rFonts w:cstheme="minorHAnsi"/>
        </w:rPr>
        <w:t xml:space="preserve">. The disease is usually </w:t>
      </w:r>
      <w:r>
        <w:rPr>
          <w:rFonts w:cstheme="minorHAnsi"/>
        </w:rPr>
        <w:t>EBV-driven</w:t>
      </w:r>
      <w:r w:rsidRPr="00713B3E">
        <w:rPr>
          <w:rFonts w:cstheme="minorHAnsi"/>
        </w:rPr>
        <w:t xml:space="preserve"> diffuse large B cell lymphoma but Hodgkin’s lymphoma and </w:t>
      </w:r>
      <w:r>
        <w:rPr>
          <w:rFonts w:cstheme="minorHAnsi"/>
        </w:rPr>
        <w:t>non-EBV</w:t>
      </w:r>
      <w:r w:rsidRPr="00713B3E">
        <w:rPr>
          <w:rFonts w:cstheme="minorHAnsi"/>
        </w:rPr>
        <w:t xml:space="preserve"> associated non-Hodgkin’s lymphoma are also described.  These patients need multidisciplinary care, and it is recommended that all patients are discussed </w:t>
      </w:r>
      <w:r>
        <w:rPr>
          <w:rFonts w:cstheme="minorHAnsi"/>
        </w:rPr>
        <w:t>with</w:t>
      </w:r>
      <w:r w:rsidRPr="00713B3E">
        <w:rPr>
          <w:rFonts w:cstheme="minorHAnsi"/>
        </w:rPr>
        <w:t xml:space="preserve"> a haemato-oncology </w:t>
      </w:r>
      <w:r>
        <w:rPr>
          <w:rFonts w:cstheme="minorHAnsi"/>
        </w:rPr>
        <w:t>multidisciplinary team (</w:t>
      </w:r>
      <w:r w:rsidRPr="00713B3E">
        <w:rPr>
          <w:rFonts w:cstheme="minorHAnsi"/>
        </w:rPr>
        <w:t>MDT</w:t>
      </w:r>
      <w:r>
        <w:rPr>
          <w:rFonts w:cstheme="minorHAnsi"/>
        </w:rPr>
        <w:t>)</w:t>
      </w:r>
      <w:r w:rsidRPr="00713B3E">
        <w:rPr>
          <w:rFonts w:cstheme="minorHAnsi"/>
        </w:rPr>
        <w:t xml:space="preserve"> with input from transplant physicians. For details on diagnosis, staging, grading and management, please refer to British Society of Haematology guidelines</w:t>
      </w:r>
      <w:r w:rsidRPr="00713B3E">
        <w:rPr>
          <w:rFonts w:cstheme="minorHAnsi"/>
          <w:vertAlign w:val="superscript"/>
        </w:rPr>
        <w:t>3</w:t>
      </w:r>
      <w:r w:rsidRPr="00713B3E">
        <w:rPr>
          <w:rFonts w:cstheme="minorHAnsi"/>
        </w:rPr>
        <w:t xml:space="preserve">. </w:t>
      </w:r>
    </w:p>
    <w:p w14:paraId="0DCB5344" w14:textId="77777777" w:rsidR="00EB6556" w:rsidRPr="00713B3E" w:rsidRDefault="00EB6556" w:rsidP="00C50D4D">
      <w:pPr>
        <w:spacing w:line="276" w:lineRule="auto"/>
        <w:jc w:val="both"/>
        <w:rPr>
          <w:rFonts w:cstheme="minorHAnsi"/>
        </w:rPr>
      </w:pPr>
      <w:r w:rsidRPr="00713B3E">
        <w:rPr>
          <w:rFonts w:cstheme="minorHAnsi"/>
        </w:rPr>
        <w:t xml:space="preserve">The management of PTLD usually involves a sequential reduction in IS. The anti-proliferative agent (azathioprine or mycophenolate mofetil) is withdrawn and the calcineurin inhibitor (CNI) dose reduced by 30-50% whilst maintaining corticosteroids (prednisolone 5-10mg once daily). Most patients require chemotherapy including Rituximab, either as a single agent or in combination with CHOP (cyclophosphamide, doxorubicin, </w:t>
      </w:r>
      <w:proofErr w:type="gramStart"/>
      <w:r w:rsidRPr="00713B3E">
        <w:rPr>
          <w:rFonts w:cstheme="minorHAnsi"/>
        </w:rPr>
        <w:t>vincristine</w:t>
      </w:r>
      <w:proofErr w:type="gramEnd"/>
      <w:r w:rsidRPr="00713B3E">
        <w:rPr>
          <w:rFonts w:cstheme="minorHAnsi"/>
        </w:rPr>
        <w:t xml:space="preserve"> and prednisolone). Mild, localised disease may respond </w:t>
      </w:r>
      <w:r>
        <w:rPr>
          <w:rFonts w:cstheme="minorHAnsi"/>
        </w:rPr>
        <w:t xml:space="preserve">to </w:t>
      </w:r>
      <w:r w:rsidRPr="00713B3E">
        <w:rPr>
          <w:rFonts w:cstheme="minorHAnsi"/>
        </w:rPr>
        <w:t xml:space="preserve">IS reduction alone and initial close observation. In high-risk cases with more advanced and aggressive disease (Ann Arbor stage ≥III, elevated LDH and more than one extra nodal disease), concomitant chemotherapy would be required along with RIS. A significant reduction or withdrawal of IS carries a risk of rejection and graft failure which is easier to manage for KTR than heart or lung transplant recipients where, unlike kidney failure, long term organ support therapies are not available.  In kidney transplant patients, the patient and graft specific factors to take into consideration while reducing/stopping immunosuppressive medications include graft function and urine output. </w:t>
      </w:r>
    </w:p>
    <w:p w14:paraId="4C461E5C" w14:textId="77777777" w:rsidR="00EB6556" w:rsidRPr="00713B3E" w:rsidRDefault="00EB6556" w:rsidP="00C50D4D">
      <w:pPr>
        <w:spacing w:line="276" w:lineRule="auto"/>
        <w:jc w:val="both"/>
        <w:rPr>
          <w:rFonts w:cstheme="minorHAnsi"/>
        </w:rPr>
      </w:pPr>
      <w:r w:rsidRPr="00713B3E">
        <w:rPr>
          <w:rFonts w:cstheme="minorHAnsi"/>
        </w:rPr>
        <w:t xml:space="preserve">In the context of </w:t>
      </w:r>
      <w:r>
        <w:rPr>
          <w:rFonts w:cstheme="minorHAnsi"/>
        </w:rPr>
        <w:t xml:space="preserve">a </w:t>
      </w:r>
      <w:r w:rsidRPr="00713B3E">
        <w:rPr>
          <w:rFonts w:cstheme="minorHAnsi"/>
        </w:rPr>
        <w:t xml:space="preserve">failing kidney transplant, the management of PTLD should focus on achieving complete remission of lymphoma with curative intent both to improve patient prognosis and to enable </w:t>
      </w:r>
      <w:r>
        <w:rPr>
          <w:rFonts w:cstheme="minorHAnsi"/>
        </w:rPr>
        <w:t>re-transplantation</w:t>
      </w:r>
      <w:r w:rsidRPr="00713B3E">
        <w:rPr>
          <w:rFonts w:cstheme="minorHAnsi"/>
        </w:rPr>
        <w:t xml:space="preserve">.  This usually means more aggressive reduction or complete withdrawal of immunosuppression depending on </w:t>
      </w:r>
      <w:r>
        <w:rPr>
          <w:rFonts w:cstheme="minorHAnsi"/>
        </w:rPr>
        <w:t xml:space="preserve">the </w:t>
      </w:r>
      <w:r w:rsidRPr="00713B3E">
        <w:rPr>
          <w:rFonts w:cstheme="minorHAnsi"/>
        </w:rPr>
        <w:t>severity and extent of lymphoma followed by chemotherapy. Transplant nephrectomy should be considered in patients with poor graft function where the kidney is infiltrated by lymphoma.</w:t>
      </w:r>
    </w:p>
    <w:p w14:paraId="39079447" w14:textId="77777777" w:rsidR="00EB6556" w:rsidRPr="00713B3E" w:rsidRDefault="00EB6556" w:rsidP="00C50D4D">
      <w:pPr>
        <w:spacing w:line="276" w:lineRule="auto"/>
        <w:jc w:val="both"/>
        <w:rPr>
          <w:rFonts w:cstheme="minorHAnsi"/>
        </w:rPr>
      </w:pPr>
      <w:r w:rsidRPr="00713B3E">
        <w:rPr>
          <w:rFonts w:cstheme="minorHAnsi"/>
        </w:rPr>
        <w:t>With regards to retransplantation, the current joint guideline of the British Committee for standards in Haematology and the British Transplant Society recommends that patients with PTLD wait for at least one year after achieving complete metabolic remission prior to consideration of retransplantation</w:t>
      </w:r>
      <w:r w:rsidRPr="00713B3E">
        <w:rPr>
          <w:rFonts w:cstheme="minorHAnsi"/>
          <w:vertAlign w:val="superscript"/>
        </w:rPr>
        <w:t>3</w:t>
      </w:r>
      <w:r w:rsidRPr="00713B3E">
        <w:rPr>
          <w:rFonts w:cstheme="minorHAnsi"/>
        </w:rPr>
        <w:t xml:space="preserve">. It is advisable to have undetectable or low EBV viral load prior to retransplantation as increased IS in the early post-transplant period can lead to an increase in viremia and consequent increased risk of B cell proliferation and development of lymphoma. However, due to </w:t>
      </w:r>
      <w:r>
        <w:rPr>
          <w:rFonts w:cstheme="minorHAnsi"/>
        </w:rPr>
        <w:t xml:space="preserve">a </w:t>
      </w:r>
      <w:r w:rsidRPr="00713B3E">
        <w:rPr>
          <w:rFonts w:cstheme="minorHAnsi"/>
        </w:rPr>
        <w:t>lack of evidence in this field, we are unable to recommend a threshold blood EBV level (viral load) prior to transplantation and there are reports of re-transplantation in patients with active EBV viremia</w:t>
      </w:r>
      <w:r w:rsidRPr="00713B3E">
        <w:rPr>
          <w:rFonts w:cstheme="minorHAnsi"/>
          <w:vertAlign w:val="superscript"/>
        </w:rPr>
        <w:t>4</w:t>
      </w:r>
      <w:r w:rsidRPr="00713B3E">
        <w:rPr>
          <w:rFonts w:cstheme="minorHAnsi"/>
        </w:rPr>
        <w:t xml:space="preserve">. The </w:t>
      </w:r>
      <w:r>
        <w:rPr>
          <w:rFonts w:cstheme="minorHAnsi"/>
        </w:rPr>
        <w:t>risk-to-benefit</w:t>
      </w:r>
      <w:r w:rsidRPr="00713B3E">
        <w:rPr>
          <w:rFonts w:cstheme="minorHAnsi"/>
        </w:rPr>
        <w:t xml:space="preserve"> ratio of proceeding with kidney transplantation in patients with previous PTLD and ongoing EBV viremia should be considered carefully on </w:t>
      </w:r>
      <w:r>
        <w:rPr>
          <w:rFonts w:cstheme="minorHAnsi"/>
        </w:rPr>
        <w:t xml:space="preserve">a </w:t>
      </w:r>
      <w:r w:rsidRPr="00713B3E">
        <w:rPr>
          <w:rFonts w:cstheme="minorHAnsi"/>
        </w:rPr>
        <w:t xml:space="preserve">case-by-case basis and </w:t>
      </w:r>
      <w:r>
        <w:rPr>
          <w:rFonts w:cstheme="minorHAnsi"/>
        </w:rPr>
        <w:t>decisions</w:t>
      </w:r>
      <w:r w:rsidRPr="00713B3E">
        <w:rPr>
          <w:rFonts w:cstheme="minorHAnsi"/>
        </w:rPr>
        <w:t xml:space="preserve"> made in liaison with the haemato-oncologist. </w:t>
      </w:r>
    </w:p>
    <w:p w14:paraId="72D02DFF" w14:textId="77777777" w:rsidR="00EB6556" w:rsidRPr="00713B3E" w:rsidRDefault="00EB6556" w:rsidP="00C50D4D">
      <w:pPr>
        <w:spacing w:line="276" w:lineRule="auto"/>
        <w:jc w:val="both"/>
        <w:rPr>
          <w:rFonts w:cstheme="minorHAnsi"/>
        </w:rPr>
      </w:pPr>
      <w:r w:rsidRPr="00713B3E">
        <w:rPr>
          <w:rFonts w:cstheme="minorHAnsi"/>
        </w:rPr>
        <w:t xml:space="preserve">For relapsed or refractory EBV positive B cell PTLD, adoptive immunotherapy with EBV -specific cytotoxic T cells (CTLs) </w:t>
      </w:r>
      <w:proofErr w:type="gramStart"/>
      <w:r>
        <w:rPr>
          <w:rFonts w:cstheme="minorHAnsi"/>
        </w:rPr>
        <w:t>offers</w:t>
      </w:r>
      <w:proofErr w:type="gramEnd"/>
      <w:r w:rsidRPr="00713B3E">
        <w:rPr>
          <w:rFonts w:cstheme="minorHAnsi"/>
        </w:rPr>
        <w:t xml:space="preserve"> another therapeutic option without </w:t>
      </w:r>
      <w:r>
        <w:rPr>
          <w:rFonts w:cstheme="minorHAnsi"/>
        </w:rPr>
        <w:t xml:space="preserve">the </w:t>
      </w:r>
      <w:r w:rsidRPr="00713B3E">
        <w:rPr>
          <w:rFonts w:cstheme="minorHAnsi"/>
        </w:rPr>
        <w:t xml:space="preserve">risk of graft rejection.  These </w:t>
      </w:r>
      <w:r>
        <w:rPr>
          <w:rFonts w:cstheme="minorHAnsi"/>
        </w:rPr>
        <w:t>EBV-specific</w:t>
      </w:r>
      <w:r w:rsidRPr="00713B3E">
        <w:rPr>
          <w:rFonts w:cstheme="minorHAnsi"/>
        </w:rPr>
        <w:t xml:space="preserve"> cytotoxic T cells are either </w:t>
      </w:r>
      <w:r>
        <w:rPr>
          <w:rFonts w:cstheme="minorHAnsi"/>
        </w:rPr>
        <w:t xml:space="preserve">the </w:t>
      </w:r>
      <w:r w:rsidRPr="00713B3E">
        <w:rPr>
          <w:rFonts w:cstheme="minorHAnsi"/>
        </w:rPr>
        <w:t xml:space="preserve">recipient’s own T cells used to generate </w:t>
      </w:r>
      <w:r>
        <w:rPr>
          <w:rFonts w:cstheme="minorHAnsi"/>
        </w:rPr>
        <w:t>EBV-directed</w:t>
      </w:r>
      <w:r w:rsidRPr="00713B3E">
        <w:rPr>
          <w:rFonts w:cstheme="minorHAnsi"/>
        </w:rPr>
        <w:t xml:space="preserve"> T cells (autologous) or from a bank of </w:t>
      </w:r>
      <w:r>
        <w:rPr>
          <w:rFonts w:cstheme="minorHAnsi"/>
        </w:rPr>
        <w:t>HLA-matched</w:t>
      </w:r>
      <w:r w:rsidRPr="00713B3E">
        <w:rPr>
          <w:rFonts w:cstheme="minorHAnsi"/>
        </w:rPr>
        <w:t>/partially matched EBV-specific T cells</w:t>
      </w:r>
      <w:r w:rsidRPr="00713B3E">
        <w:rPr>
          <w:rFonts w:cstheme="minorHAnsi"/>
          <w:vertAlign w:val="superscript"/>
        </w:rPr>
        <w:t>5,6</w:t>
      </w:r>
      <w:r>
        <w:rPr>
          <w:rFonts w:cstheme="minorHAnsi"/>
          <w:vertAlign w:val="superscript"/>
        </w:rPr>
        <w:t>,7</w:t>
      </w:r>
      <w:r w:rsidRPr="00713B3E">
        <w:rPr>
          <w:rFonts w:cstheme="minorHAnsi"/>
        </w:rPr>
        <w:t xml:space="preserve">. </w:t>
      </w:r>
      <w:r>
        <w:rPr>
          <w:rFonts w:cstheme="minorHAnsi"/>
        </w:rPr>
        <w:t xml:space="preserve">Although this treatment is currently not widely used, increasing safety and efficacy data could make it more available in the future. </w:t>
      </w:r>
    </w:p>
    <w:p w14:paraId="37819768" w14:textId="15AAA380" w:rsidR="00EB6556" w:rsidRPr="00713B3E" w:rsidRDefault="00EB6556" w:rsidP="00C446C7">
      <w:pPr>
        <w:pStyle w:val="Heading3"/>
        <w:rPr>
          <w:sz w:val="22"/>
          <w:szCs w:val="22"/>
        </w:rPr>
      </w:pPr>
      <w:bookmarkStart w:id="131" w:name="_Toc128330036"/>
      <w:r w:rsidRPr="00713B3E">
        <w:lastRenderedPageBreak/>
        <w:t>R</w:t>
      </w:r>
      <w:r w:rsidR="00C50D4D">
        <w:t>eferences</w:t>
      </w:r>
      <w:bookmarkEnd w:id="131"/>
    </w:p>
    <w:p w14:paraId="019A4FB8" w14:textId="77777777" w:rsidR="00EB6556" w:rsidRPr="00713B3E" w:rsidRDefault="00EB6556" w:rsidP="0082468C">
      <w:pPr>
        <w:pBdr>
          <w:top w:val="nil"/>
          <w:left w:val="nil"/>
          <w:bottom w:val="nil"/>
          <w:right w:val="nil"/>
          <w:between w:val="nil"/>
        </w:pBdr>
        <w:spacing w:after="0" w:line="276" w:lineRule="auto"/>
        <w:jc w:val="both"/>
        <w:rPr>
          <w:rFonts w:cstheme="minorHAnsi"/>
          <w:color w:val="000000"/>
        </w:rPr>
      </w:pPr>
      <w:r w:rsidRPr="008B135B">
        <w:rPr>
          <w:rFonts w:cstheme="minorHAnsi"/>
          <w:color w:val="000000"/>
          <w:lang w:val="fr-FR"/>
        </w:rPr>
        <w:t>1.</w:t>
      </w:r>
      <w:r w:rsidRPr="008B135B">
        <w:rPr>
          <w:rFonts w:cstheme="minorHAnsi"/>
          <w:color w:val="000000"/>
          <w:lang w:val="fr-FR"/>
        </w:rPr>
        <w:tab/>
        <w:t xml:space="preserve">Caillard S, Porcher R, Provot F, et al. </w:t>
      </w:r>
      <w:r w:rsidRPr="00713B3E">
        <w:rPr>
          <w:rFonts w:cstheme="minorHAnsi"/>
          <w:color w:val="000000"/>
        </w:rPr>
        <w:t xml:space="preserve">Post-transplantation lymphoproliferative disorder after kidney transplantation: report of a nationwide French registry and the development of a new prognostic score. J Clin Oncol </w:t>
      </w:r>
      <w:proofErr w:type="gramStart"/>
      <w:r w:rsidRPr="00713B3E">
        <w:rPr>
          <w:rFonts w:cstheme="minorHAnsi"/>
          <w:color w:val="000000"/>
        </w:rPr>
        <w:t>2013;31:1302</w:t>
      </w:r>
      <w:proofErr w:type="gramEnd"/>
      <w:r w:rsidRPr="00713B3E">
        <w:rPr>
          <w:rFonts w:cstheme="minorHAnsi"/>
          <w:color w:val="000000"/>
        </w:rPr>
        <w:t>-9.</w:t>
      </w:r>
    </w:p>
    <w:p w14:paraId="17F0FEA4" w14:textId="77777777" w:rsidR="00EB6556" w:rsidRPr="008B135B" w:rsidRDefault="00EB6556" w:rsidP="0082468C">
      <w:pPr>
        <w:pBdr>
          <w:top w:val="nil"/>
          <w:left w:val="nil"/>
          <w:bottom w:val="nil"/>
          <w:right w:val="nil"/>
          <w:between w:val="nil"/>
        </w:pBdr>
        <w:spacing w:after="0" w:line="276" w:lineRule="auto"/>
        <w:jc w:val="both"/>
        <w:rPr>
          <w:rFonts w:cstheme="minorHAnsi"/>
          <w:color w:val="000000"/>
          <w:lang w:val="nb-NO"/>
        </w:rPr>
      </w:pPr>
      <w:r w:rsidRPr="00713B3E">
        <w:rPr>
          <w:rFonts w:cstheme="minorHAnsi"/>
          <w:color w:val="000000"/>
        </w:rPr>
        <w:t>2.</w:t>
      </w:r>
      <w:r w:rsidRPr="00713B3E">
        <w:rPr>
          <w:rFonts w:cstheme="minorHAnsi"/>
          <w:color w:val="000000"/>
        </w:rPr>
        <w:tab/>
        <w:t xml:space="preserve">Opelz G, Dohler B. Lymphomas after solid organ transplantation: a collaborative transplant study report. </w:t>
      </w:r>
      <w:r w:rsidRPr="008B135B">
        <w:rPr>
          <w:rFonts w:cstheme="minorHAnsi"/>
          <w:color w:val="000000"/>
          <w:lang w:val="nb-NO"/>
        </w:rPr>
        <w:t>Am J Transplant 2004;4:222-30.</w:t>
      </w:r>
    </w:p>
    <w:p w14:paraId="1365A748" w14:textId="77777777" w:rsidR="00EB6556" w:rsidRPr="008B135B" w:rsidRDefault="00EB6556" w:rsidP="0082468C">
      <w:pPr>
        <w:pBdr>
          <w:top w:val="nil"/>
          <w:left w:val="nil"/>
          <w:bottom w:val="nil"/>
          <w:right w:val="nil"/>
          <w:between w:val="nil"/>
        </w:pBdr>
        <w:spacing w:after="0" w:line="276" w:lineRule="auto"/>
        <w:jc w:val="both"/>
        <w:rPr>
          <w:rFonts w:cstheme="minorHAnsi"/>
          <w:color w:val="000000"/>
          <w:lang w:val="nl-NL"/>
        </w:rPr>
      </w:pPr>
      <w:r w:rsidRPr="008B135B">
        <w:rPr>
          <w:rFonts w:cstheme="minorHAnsi"/>
          <w:color w:val="000000"/>
          <w:lang w:val="nb-NO"/>
        </w:rPr>
        <w:t>3.</w:t>
      </w:r>
      <w:r w:rsidRPr="008B135B">
        <w:rPr>
          <w:rFonts w:cstheme="minorHAnsi"/>
          <w:color w:val="000000"/>
          <w:lang w:val="nb-NO"/>
        </w:rPr>
        <w:tab/>
        <w:t xml:space="preserve">Shah N, Eyre TA, Tucker D, et al. </w:t>
      </w:r>
      <w:r w:rsidRPr="00713B3E">
        <w:rPr>
          <w:rFonts w:cstheme="minorHAnsi"/>
          <w:color w:val="000000"/>
        </w:rPr>
        <w:t xml:space="preserve">Front-line management of post-transplantation lymphoproliferative disorder in adult solid organ recipient patients - A British Society for Haematology Guideline. </w:t>
      </w:r>
      <w:r w:rsidRPr="008B135B">
        <w:rPr>
          <w:rFonts w:cstheme="minorHAnsi"/>
          <w:color w:val="000000"/>
          <w:lang w:val="nl-NL"/>
        </w:rPr>
        <w:t>Br J Haematol 2021;193:727-40.</w:t>
      </w:r>
    </w:p>
    <w:p w14:paraId="3DCF41FF" w14:textId="77777777" w:rsidR="00EB6556" w:rsidRPr="00713B3E" w:rsidRDefault="00EB6556" w:rsidP="0082468C">
      <w:pPr>
        <w:pBdr>
          <w:top w:val="nil"/>
          <w:left w:val="nil"/>
          <w:bottom w:val="nil"/>
          <w:right w:val="nil"/>
          <w:between w:val="nil"/>
        </w:pBdr>
        <w:spacing w:after="0" w:line="276" w:lineRule="auto"/>
        <w:jc w:val="both"/>
        <w:rPr>
          <w:rFonts w:cstheme="minorHAnsi"/>
          <w:color w:val="000000"/>
        </w:rPr>
      </w:pPr>
      <w:r w:rsidRPr="008B135B">
        <w:rPr>
          <w:rFonts w:cstheme="minorHAnsi"/>
          <w:color w:val="000000"/>
          <w:lang w:val="nl-NL"/>
        </w:rPr>
        <w:t>4.</w:t>
      </w:r>
      <w:r w:rsidRPr="008B135B">
        <w:rPr>
          <w:rFonts w:cstheme="minorHAnsi"/>
          <w:color w:val="000000"/>
          <w:lang w:val="nl-NL"/>
        </w:rPr>
        <w:tab/>
        <w:t xml:space="preserve">Caillard S, Cellot E, Dantal J, et al. </w:t>
      </w:r>
      <w:r w:rsidRPr="00713B3E">
        <w:rPr>
          <w:rFonts w:cstheme="minorHAnsi"/>
          <w:color w:val="000000"/>
        </w:rPr>
        <w:t xml:space="preserve">A French Cohort Study of Kidney Retransplantation after Post-Transplant Lymphoproliferative Disorders. Clin J Am Soc Nephrol </w:t>
      </w:r>
      <w:proofErr w:type="gramStart"/>
      <w:r w:rsidRPr="00713B3E">
        <w:rPr>
          <w:rFonts w:cstheme="minorHAnsi"/>
          <w:color w:val="000000"/>
        </w:rPr>
        <w:t>2017;12:1663</w:t>
      </w:r>
      <w:proofErr w:type="gramEnd"/>
      <w:r w:rsidRPr="00713B3E">
        <w:rPr>
          <w:rFonts w:cstheme="minorHAnsi"/>
          <w:color w:val="000000"/>
        </w:rPr>
        <w:t>-70.</w:t>
      </w:r>
    </w:p>
    <w:p w14:paraId="5323A4BF" w14:textId="77777777" w:rsidR="00EB6556" w:rsidRPr="00713B3E" w:rsidRDefault="00EB6556" w:rsidP="0082468C">
      <w:pPr>
        <w:pBdr>
          <w:top w:val="nil"/>
          <w:left w:val="nil"/>
          <w:bottom w:val="nil"/>
          <w:right w:val="nil"/>
          <w:between w:val="nil"/>
        </w:pBdr>
        <w:spacing w:after="0" w:line="276" w:lineRule="auto"/>
        <w:jc w:val="both"/>
        <w:rPr>
          <w:rFonts w:cstheme="minorHAnsi"/>
          <w:color w:val="000000"/>
        </w:rPr>
      </w:pPr>
      <w:r w:rsidRPr="00713B3E">
        <w:rPr>
          <w:rFonts w:cstheme="minorHAnsi"/>
          <w:color w:val="000000"/>
        </w:rPr>
        <w:t>5.</w:t>
      </w:r>
      <w:r w:rsidRPr="00713B3E">
        <w:rPr>
          <w:rFonts w:cstheme="minorHAnsi"/>
          <w:color w:val="000000"/>
        </w:rPr>
        <w:tab/>
        <w:t xml:space="preserve">Savoldo B, Goss JA, Hammer MM, et al. Treatment of solid organ transplant recipients with autologous Epstein Barr virus-specific cytotoxic T lymphocytes (CTLs). Blood </w:t>
      </w:r>
      <w:proofErr w:type="gramStart"/>
      <w:r w:rsidRPr="00713B3E">
        <w:rPr>
          <w:rFonts w:cstheme="minorHAnsi"/>
          <w:color w:val="000000"/>
        </w:rPr>
        <w:t>2006;108:2942</w:t>
      </w:r>
      <w:proofErr w:type="gramEnd"/>
      <w:r w:rsidRPr="00713B3E">
        <w:rPr>
          <w:rFonts w:cstheme="minorHAnsi"/>
          <w:color w:val="000000"/>
        </w:rPr>
        <w:t>-9.</w:t>
      </w:r>
    </w:p>
    <w:p w14:paraId="19741219" w14:textId="77777777" w:rsidR="00EB6556" w:rsidRDefault="00EB6556" w:rsidP="0082468C">
      <w:pPr>
        <w:pBdr>
          <w:top w:val="nil"/>
          <w:left w:val="nil"/>
          <w:bottom w:val="nil"/>
          <w:right w:val="nil"/>
          <w:between w:val="nil"/>
        </w:pBdr>
        <w:spacing w:after="0" w:line="276" w:lineRule="auto"/>
        <w:jc w:val="both"/>
        <w:rPr>
          <w:rFonts w:cstheme="minorHAnsi"/>
          <w:color w:val="000000"/>
        </w:rPr>
      </w:pPr>
      <w:r w:rsidRPr="00713B3E">
        <w:rPr>
          <w:rFonts w:cstheme="minorHAnsi"/>
          <w:color w:val="000000"/>
        </w:rPr>
        <w:t>6.</w:t>
      </w:r>
      <w:r w:rsidRPr="00713B3E">
        <w:rPr>
          <w:rFonts w:cstheme="minorHAnsi"/>
          <w:color w:val="000000"/>
        </w:rPr>
        <w:tab/>
        <w:t xml:space="preserve">Vickers MA, Wilkie GM, Robinson N, et al. Establishment and operation of a Good Manufacturing Practice-compliant allogeneic Epstein-Barr virus (EBV)-specific cytotoxic cell bank for the treatment of EBV-associated lymphoproliferative disease. Br J Haematol </w:t>
      </w:r>
      <w:proofErr w:type="gramStart"/>
      <w:r w:rsidRPr="00713B3E">
        <w:rPr>
          <w:rFonts w:cstheme="minorHAnsi"/>
          <w:color w:val="000000"/>
        </w:rPr>
        <w:t>2014;167:402</w:t>
      </w:r>
      <w:proofErr w:type="gramEnd"/>
      <w:r w:rsidRPr="00713B3E">
        <w:rPr>
          <w:rFonts w:cstheme="minorHAnsi"/>
          <w:color w:val="000000"/>
        </w:rPr>
        <w:t>-10.</w:t>
      </w:r>
    </w:p>
    <w:p w14:paraId="14E71357" w14:textId="77777777" w:rsidR="00EB6556" w:rsidRDefault="00EB6556" w:rsidP="0082468C">
      <w:pPr>
        <w:spacing w:after="0" w:line="276" w:lineRule="auto"/>
        <w:rPr>
          <w:sz w:val="20"/>
          <w:szCs w:val="20"/>
        </w:rPr>
      </w:pPr>
      <w:r>
        <w:rPr>
          <w:rFonts w:cstheme="minorHAnsi"/>
          <w:color w:val="000000"/>
        </w:rPr>
        <w:t>7</w:t>
      </w:r>
      <w:r w:rsidRPr="00CC707D">
        <w:rPr>
          <w:rFonts w:cstheme="minorHAnsi"/>
          <w:color w:val="000000"/>
        </w:rPr>
        <w:t xml:space="preserve">. </w:t>
      </w:r>
      <w:r w:rsidRPr="0045031F">
        <w:rPr>
          <w:rFonts w:cstheme="minorHAnsi"/>
          <w:color w:val="000000"/>
        </w:rPr>
        <w:t xml:space="preserve">       </w:t>
      </w:r>
      <w:r w:rsidRPr="0045031F">
        <w:rPr>
          <w:rFonts w:cstheme="minorHAnsi"/>
        </w:rPr>
        <w:t xml:space="preserve"> </w:t>
      </w:r>
      <w:r w:rsidRPr="00A91C8C">
        <w:t>Liu JY, Zhang JM, Zhan HS, Sun LY, Wei L. EBV-specific cytotoxic T lymphocytes for refractory EBV-associated post-transplant lymphoproliferative disorder in solid organ transplant recipients: a systematic review. Transpl Int. 2021</w:t>
      </w:r>
      <w:r>
        <w:t>;</w:t>
      </w:r>
      <w:r w:rsidRPr="0045031F">
        <w:t xml:space="preserve"> </w:t>
      </w:r>
      <w:r w:rsidRPr="00A91C8C">
        <w:t xml:space="preserve">34(12):2483-2493. </w:t>
      </w:r>
    </w:p>
    <w:p w14:paraId="7FDDA44D" w14:textId="77777777" w:rsidR="00EB6556" w:rsidRPr="00A91C8C" w:rsidRDefault="00EB6556" w:rsidP="00EB6556">
      <w:pPr>
        <w:pBdr>
          <w:top w:val="nil"/>
          <w:left w:val="nil"/>
          <w:bottom w:val="nil"/>
          <w:right w:val="nil"/>
          <w:between w:val="nil"/>
        </w:pBdr>
        <w:jc w:val="both"/>
        <w:rPr>
          <w:rFonts w:cstheme="minorHAnsi"/>
        </w:rPr>
      </w:pPr>
    </w:p>
    <w:p w14:paraId="74F52AE9" w14:textId="77777777" w:rsidR="00EB6556" w:rsidRDefault="00EB6556" w:rsidP="00C446C7">
      <w:pPr>
        <w:pStyle w:val="Heading3"/>
      </w:pPr>
      <w:bookmarkStart w:id="132" w:name="_Toc128330037"/>
      <w:r>
        <w:t>9.1.2 Solid Organ Cancers</w:t>
      </w:r>
      <w:bookmarkEnd w:id="132"/>
    </w:p>
    <w:p w14:paraId="7C7C201B" w14:textId="77777777" w:rsidR="00EB6556" w:rsidRPr="00F232BE" w:rsidRDefault="00EB6556" w:rsidP="00C446C7">
      <w:pPr>
        <w:pStyle w:val="Heading3"/>
        <w:rPr>
          <w:rFonts w:asciiTheme="minorHAnsi" w:eastAsia="Arial" w:hAnsiTheme="minorHAnsi" w:cstheme="minorHAnsi"/>
        </w:rPr>
      </w:pPr>
      <w:bookmarkStart w:id="133" w:name="_Toc128330038"/>
      <w:r w:rsidRPr="0016371F">
        <w:rPr>
          <w:rFonts w:asciiTheme="minorHAnsi" w:eastAsia="Arial" w:hAnsiTheme="minorHAnsi" w:cstheme="minorHAnsi"/>
        </w:rPr>
        <w:t>Statements of Recommendation</w:t>
      </w:r>
      <w:bookmarkEnd w:id="133"/>
    </w:p>
    <w:p w14:paraId="40E8A891" w14:textId="77777777" w:rsidR="00EB6556" w:rsidRPr="00713B3E" w:rsidRDefault="00EB6556" w:rsidP="0082468C">
      <w:r w:rsidRPr="00713B3E">
        <w:t>We recommend</w:t>
      </w:r>
      <w:r>
        <w:t xml:space="preserve"> that: </w:t>
      </w:r>
    </w:p>
    <w:p w14:paraId="389786C9" w14:textId="77777777" w:rsidR="00EB6556" w:rsidRPr="00713B3E" w:rsidRDefault="00EB6556">
      <w:pPr>
        <w:numPr>
          <w:ilvl w:val="0"/>
          <w:numId w:val="27"/>
        </w:numPr>
        <w:pBdr>
          <w:top w:val="nil"/>
          <w:left w:val="nil"/>
          <w:bottom w:val="nil"/>
          <w:right w:val="nil"/>
          <w:between w:val="nil"/>
        </w:pBdr>
        <w:spacing w:line="276" w:lineRule="auto"/>
        <w:jc w:val="both"/>
        <w:rPr>
          <w:rFonts w:cstheme="minorHAnsi"/>
          <w:bCs/>
          <w:color w:val="000000"/>
        </w:rPr>
      </w:pPr>
      <w:r w:rsidRPr="00713B3E">
        <w:rPr>
          <w:rFonts w:cstheme="minorHAnsi"/>
          <w:bCs/>
          <w:color w:val="000000"/>
        </w:rPr>
        <w:t>Screening for cancer in patients with failing kidney transplant should be done in accordance with national guidelines (for cervical, breast and colon cancer). Screening for renal cell cancer is not recommended. (</w:t>
      </w:r>
      <w:r w:rsidRPr="00C50D4D">
        <w:rPr>
          <w:rFonts w:cstheme="minorHAnsi"/>
          <w:bCs/>
          <w:color w:val="000000"/>
        </w:rPr>
        <w:t>2C</w:t>
      </w:r>
      <w:r w:rsidRPr="00713B3E">
        <w:rPr>
          <w:rFonts w:cstheme="minorHAnsi"/>
          <w:bCs/>
          <w:color w:val="000000"/>
        </w:rPr>
        <w:t>)</w:t>
      </w:r>
    </w:p>
    <w:p w14:paraId="281AAB22" w14:textId="77777777" w:rsidR="00EB6556" w:rsidRPr="00713B3E" w:rsidRDefault="00EB6556">
      <w:pPr>
        <w:numPr>
          <w:ilvl w:val="0"/>
          <w:numId w:val="27"/>
        </w:numPr>
        <w:pBdr>
          <w:top w:val="nil"/>
          <w:left w:val="nil"/>
          <w:bottom w:val="nil"/>
          <w:right w:val="nil"/>
          <w:between w:val="nil"/>
        </w:pBdr>
        <w:spacing w:line="276" w:lineRule="auto"/>
        <w:jc w:val="both"/>
        <w:rPr>
          <w:rFonts w:cstheme="minorHAnsi"/>
          <w:bCs/>
          <w:color w:val="000000"/>
        </w:rPr>
      </w:pPr>
      <w:r w:rsidRPr="00713B3E">
        <w:rPr>
          <w:rFonts w:cstheme="minorHAnsi"/>
          <w:bCs/>
          <w:color w:val="000000"/>
        </w:rPr>
        <w:t>Patients should be aware of cancer risk and encouraged to report symptoms which may represent malignancy (breast lump, testicular lump, lower urinary tract symptoms, haematuria)</w:t>
      </w:r>
      <w:r>
        <w:rPr>
          <w:rFonts w:cstheme="minorHAnsi"/>
          <w:bCs/>
          <w:color w:val="000000"/>
        </w:rPr>
        <w:t>.</w:t>
      </w:r>
      <w:r w:rsidRPr="00713B3E">
        <w:rPr>
          <w:rFonts w:cstheme="minorHAnsi"/>
          <w:bCs/>
          <w:color w:val="000000"/>
        </w:rPr>
        <w:t xml:space="preserve"> (</w:t>
      </w:r>
      <w:r w:rsidRPr="00C50D4D">
        <w:rPr>
          <w:rFonts w:cstheme="minorHAnsi"/>
          <w:bCs/>
          <w:color w:val="000000"/>
        </w:rPr>
        <w:t>2D</w:t>
      </w:r>
      <w:r w:rsidRPr="00713B3E">
        <w:rPr>
          <w:rFonts w:cstheme="minorHAnsi"/>
          <w:bCs/>
          <w:color w:val="000000"/>
        </w:rPr>
        <w:t>)</w:t>
      </w:r>
    </w:p>
    <w:p w14:paraId="2223F039" w14:textId="77777777" w:rsidR="00EB6556" w:rsidRPr="00713B3E" w:rsidRDefault="00EB6556">
      <w:pPr>
        <w:numPr>
          <w:ilvl w:val="0"/>
          <w:numId w:val="27"/>
        </w:numPr>
        <w:pBdr>
          <w:top w:val="nil"/>
          <w:left w:val="nil"/>
          <w:bottom w:val="nil"/>
          <w:right w:val="nil"/>
          <w:between w:val="nil"/>
        </w:pBdr>
        <w:spacing w:line="276" w:lineRule="auto"/>
        <w:jc w:val="both"/>
        <w:rPr>
          <w:rFonts w:cstheme="minorHAnsi"/>
          <w:bCs/>
          <w:color w:val="000000"/>
        </w:rPr>
      </w:pPr>
      <w:r w:rsidRPr="00713B3E">
        <w:rPr>
          <w:rFonts w:cstheme="minorHAnsi"/>
          <w:bCs/>
          <w:color w:val="000000"/>
        </w:rPr>
        <w:t xml:space="preserve">Kidney transplant recipients with </w:t>
      </w:r>
      <w:r>
        <w:rPr>
          <w:rFonts w:cstheme="minorHAnsi"/>
          <w:bCs/>
          <w:color w:val="000000"/>
        </w:rPr>
        <w:t xml:space="preserve">a </w:t>
      </w:r>
      <w:r w:rsidRPr="00713B3E">
        <w:rPr>
          <w:rFonts w:cstheme="minorHAnsi"/>
          <w:bCs/>
          <w:color w:val="000000"/>
        </w:rPr>
        <w:t xml:space="preserve">failing </w:t>
      </w:r>
      <w:r>
        <w:rPr>
          <w:rFonts w:cstheme="minorHAnsi"/>
          <w:bCs/>
          <w:color w:val="000000"/>
        </w:rPr>
        <w:t>graft</w:t>
      </w:r>
      <w:r w:rsidRPr="00713B3E">
        <w:rPr>
          <w:rFonts w:cstheme="minorHAnsi"/>
          <w:bCs/>
          <w:color w:val="000000"/>
        </w:rPr>
        <w:t xml:space="preserve"> and previously treated cancer should be considered for re-transplantation</w:t>
      </w:r>
      <w:r>
        <w:rPr>
          <w:rFonts w:cstheme="minorHAnsi"/>
          <w:bCs/>
          <w:color w:val="000000"/>
        </w:rPr>
        <w:t>.</w:t>
      </w:r>
      <w:r w:rsidRPr="00713B3E">
        <w:rPr>
          <w:rFonts w:cstheme="minorHAnsi"/>
          <w:bCs/>
          <w:color w:val="000000"/>
        </w:rPr>
        <w:t xml:space="preserve"> (</w:t>
      </w:r>
      <w:r w:rsidRPr="00C50D4D">
        <w:rPr>
          <w:rFonts w:cstheme="minorHAnsi"/>
          <w:bCs/>
          <w:color w:val="000000"/>
        </w:rPr>
        <w:t>1B</w:t>
      </w:r>
      <w:r w:rsidRPr="00713B3E">
        <w:rPr>
          <w:rFonts w:cstheme="minorHAnsi"/>
          <w:bCs/>
          <w:color w:val="000000"/>
        </w:rPr>
        <w:t>)</w:t>
      </w:r>
    </w:p>
    <w:p w14:paraId="57C38F60" w14:textId="77777777" w:rsidR="00EB6556" w:rsidRPr="00713B3E" w:rsidRDefault="00EB6556">
      <w:pPr>
        <w:numPr>
          <w:ilvl w:val="0"/>
          <w:numId w:val="27"/>
        </w:numPr>
        <w:pBdr>
          <w:top w:val="nil"/>
          <w:left w:val="nil"/>
          <w:bottom w:val="nil"/>
          <w:right w:val="nil"/>
          <w:between w:val="nil"/>
        </w:pBdr>
        <w:spacing w:line="276" w:lineRule="auto"/>
        <w:jc w:val="both"/>
        <w:rPr>
          <w:rFonts w:cstheme="minorHAnsi"/>
          <w:bCs/>
          <w:color w:val="000000"/>
        </w:rPr>
      </w:pPr>
      <w:r w:rsidRPr="00713B3E">
        <w:rPr>
          <w:rFonts w:cstheme="minorHAnsi"/>
          <w:bCs/>
          <w:color w:val="000000"/>
        </w:rPr>
        <w:t xml:space="preserve">Recommended time interval between remission from cancer and transplantation depends on </w:t>
      </w:r>
      <w:r>
        <w:rPr>
          <w:rFonts w:cstheme="minorHAnsi"/>
          <w:bCs/>
          <w:color w:val="000000"/>
        </w:rPr>
        <w:t xml:space="preserve">the </w:t>
      </w:r>
      <w:r w:rsidRPr="00713B3E">
        <w:rPr>
          <w:rFonts w:cstheme="minorHAnsi"/>
          <w:bCs/>
          <w:color w:val="000000"/>
        </w:rPr>
        <w:t xml:space="preserve">type, </w:t>
      </w:r>
      <w:proofErr w:type="gramStart"/>
      <w:r w:rsidRPr="00713B3E">
        <w:rPr>
          <w:rFonts w:cstheme="minorHAnsi"/>
          <w:bCs/>
          <w:color w:val="000000"/>
        </w:rPr>
        <w:t>grade</w:t>
      </w:r>
      <w:proofErr w:type="gramEnd"/>
      <w:r w:rsidRPr="00713B3E">
        <w:rPr>
          <w:rFonts w:cstheme="minorHAnsi"/>
          <w:bCs/>
          <w:color w:val="000000"/>
        </w:rPr>
        <w:t xml:space="preserve"> and stage of the cancer</w:t>
      </w:r>
      <w:r>
        <w:rPr>
          <w:rFonts w:cstheme="minorHAnsi"/>
          <w:bCs/>
          <w:color w:val="000000"/>
        </w:rPr>
        <w:t>.</w:t>
      </w:r>
      <w:r w:rsidRPr="00713B3E">
        <w:rPr>
          <w:rFonts w:cstheme="minorHAnsi"/>
          <w:bCs/>
          <w:color w:val="000000"/>
        </w:rPr>
        <w:t xml:space="preserve"> (</w:t>
      </w:r>
      <w:r w:rsidRPr="00C50D4D">
        <w:rPr>
          <w:rFonts w:cstheme="minorHAnsi"/>
          <w:bCs/>
          <w:color w:val="000000"/>
        </w:rPr>
        <w:t>Ungraded</w:t>
      </w:r>
      <w:r w:rsidRPr="00713B3E">
        <w:rPr>
          <w:rFonts w:cstheme="minorHAnsi"/>
          <w:bCs/>
          <w:color w:val="000000"/>
        </w:rPr>
        <w:t>)</w:t>
      </w:r>
    </w:p>
    <w:p w14:paraId="04603975" w14:textId="77777777" w:rsidR="00EB6556" w:rsidRPr="00713B3E" w:rsidRDefault="00EB6556" w:rsidP="0082468C">
      <w:r w:rsidRPr="00713B3E">
        <w:t>Recommendations for audit and research:</w:t>
      </w:r>
    </w:p>
    <w:p w14:paraId="7A890056" w14:textId="77777777" w:rsidR="00EB6556" w:rsidRPr="00713B3E" w:rsidRDefault="00EB6556">
      <w:pPr>
        <w:numPr>
          <w:ilvl w:val="0"/>
          <w:numId w:val="25"/>
        </w:numPr>
        <w:pBdr>
          <w:top w:val="nil"/>
          <w:left w:val="nil"/>
          <w:bottom w:val="nil"/>
          <w:right w:val="nil"/>
          <w:between w:val="nil"/>
        </w:pBdr>
        <w:shd w:val="clear" w:color="auto" w:fill="FFFFFF"/>
        <w:spacing w:line="276" w:lineRule="auto"/>
        <w:jc w:val="both"/>
        <w:rPr>
          <w:rFonts w:cstheme="minorHAnsi"/>
          <w:color w:val="1F1F1F"/>
        </w:rPr>
      </w:pPr>
      <w:r w:rsidRPr="00713B3E">
        <w:rPr>
          <w:rFonts w:cstheme="minorHAnsi"/>
          <w:color w:val="1F1F1F"/>
        </w:rPr>
        <w:t>Outcomes of patients re-transplanted following treatment of solid organ cancer.</w:t>
      </w:r>
    </w:p>
    <w:p w14:paraId="74DEE457" w14:textId="77777777" w:rsidR="00EB6556" w:rsidRPr="00713B3E" w:rsidRDefault="00EB6556">
      <w:pPr>
        <w:numPr>
          <w:ilvl w:val="0"/>
          <w:numId w:val="25"/>
        </w:numPr>
        <w:pBdr>
          <w:top w:val="nil"/>
          <w:left w:val="nil"/>
          <w:bottom w:val="nil"/>
          <w:right w:val="nil"/>
          <w:between w:val="nil"/>
        </w:pBdr>
        <w:shd w:val="clear" w:color="auto" w:fill="FFFFFF"/>
        <w:spacing w:line="276" w:lineRule="auto"/>
        <w:jc w:val="both"/>
        <w:rPr>
          <w:rFonts w:cstheme="minorHAnsi"/>
          <w:color w:val="1F1F1F"/>
        </w:rPr>
      </w:pPr>
      <w:r w:rsidRPr="00713B3E">
        <w:rPr>
          <w:rFonts w:cstheme="minorHAnsi"/>
          <w:color w:val="1F1F1F"/>
        </w:rPr>
        <w:t>Optimal IS regimens for kidney transplant recipients with solid organ cancers.</w:t>
      </w:r>
    </w:p>
    <w:p w14:paraId="25EADC9C" w14:textId="77777777" w:rsidR="00EB6556" w:rsidRDefault="00EB6556" w:rsidP="00C446C7">
      <w:pPr>
        <w:pStyle w:val="Heading3"/>
      </w:pPr>
      <w:bookmarkStart w:id="134" w:name="_Toc128330039"/>
      <w:r w:rsidRPr="00713B3E">
        <w:t>Rationale</w:t>
      </w:r>
      <w:bookmarkEnd w:id="134"/>
    </w:p>
    <w:p w14:paraId="3E1E2204" w14:textId="77777777" w:rsidR="00EB6556" w:rsidRPr="00713B3E" w:rsidRDefault="00EB6556" w:rsidP="00C50D4D">
      <w:pPr>
        <w:spacing w:line="276" w:lineRule="auto"/>
        <w:jc w:val="both"/>
        <w:rPr>
          <w:rFonts w:cstheme="minorHAnsi"/>
        </w:rPr>
      </w:pPr>
      <w:r w:rsidRPr="00713B3E">
        <w:rPr>
          <w:rFonts w:cstheme="minorHAnsi"/>
        </w:rPr>
        <w:t xml:space="preserve">Kidney transplant recipients are at higher risk of developing certain solid organ cancers, thought to be in part mediated by </w:t>
      </w:r>
      <w:r>
        <w:rPr>
          <w:rFonts w:cstheme="minorHAnsi"/>
        </w:rPr>
        <w:t>long-term</w:t>
      </w:r>
      <w:r w:rsidRPr="00713B3E">
        <w:rPr>
          <w:rFonts w:cstheme="minorHAnsi"/>
        </w:rPr>
        <w:t xml:space="preserve"> IS and altered T cell anti-tumour immune surveillance. The risk varies for different cancers (summarised in BTS guidelines on post-operative care of kidney transplant </w:t>
      </w:r>
      <w:r w:rsidRPr="00713B3E">
        <w:rPr>
          <w:rFonts w:cstheme="minorHAnsi"/>
        </w:rPr>
        <w:lastRenderedPageBreak/>
        <w:t>recipients</w:t>
      </w:r>
      <w:r w:rsidRPr="00713B3E">
        <w:rPr>
          <w:rFonts w:cstheme="minorHAnsi"/>
          <w:vertAlign w:val="superscript"/>
        </w:rPr>
        <w:t>1</w:t>
      </w:r>
      <w:r w:rsidRPr="00713B3E">
        <w:rPr>
          <w:rFonts w:cstheme="minorHAnsi"/>
        </w:rPr>
        <w:t xml:space="preserve">). The main objective of </w:t>
      </w:r>
      <w:r>
        <w:rPr>
          <w:rFonts w:cstheme="minorHAnsi"/>
        </w:rPr>
        <w:t xml:space="preserve">the </w:t>
      </w:r>
      <w:r w:rsidRPr="00713B3E">
        <w:rPr>
          <w:rFonts w:cstheme="minorHAnsi"/>
        </w:rPr>
        <w:t xml:space="preserve">management of transplant recipients with cancer is to achieve complete remission/cure from cancer with surgery, chemotherapy, </w:t>
      </w:r>
      <w:proofErr w:type="gramStart"/>
      <w:r w:rsidRPr="00713B3E">
        <w:rPr>
          <w:rFonts w:cstheme="minorHAnsi"/>
        </w:rPr>
        <w:t>radiotherapy</w:t>
      </w:r>
      <w:proofErr w:type="gramEnd"/>
      <w:r w:rsidRPr="00713B3E">
        <w:rPr>
          <w:rFonts w:cstheme="minorHAnsi"/>
        </w:rPr>
        <w:t xml:space="preserve"> and immunotherapy as required. Preservation of renal function facilitates adequate cancer treatment and improves tolerance to chemotherapy. Therefore, preserving renal function and residual urine output with continuation of low-level </w:t>
      </w:r>
      <w:proofErr w:type="gramStart"/>
      <w:r w:rsidRPr="00713B3E">
        <w:rPr>
          <w:rFonts w:cstheme="minorHAnsi"/>
        </w:rPr>
        <w:t>IS should be</w:t>
      </w:r>
      <w:proofErr w:type="gramEnd"/>
      <w:r w:rsidRPr="00713B3E">
        <w:rPr>
          <w:rFonts w:cstheme="minorHAnsi"/>
        </w:rPr>
        <w:t xml:space="preserve"> considered while the patient undergoes active treatment for cancer under surgical and oncology teams.  Complete withdrawal of IS can lead to severe rejection with consequent hyperinflammatory state, anaemia and return to dialysis which is an undesirable outcome for patients undergoing treatment for cancer.</w:t>
      </w:r>
    </w:p>
    <w:p w14:paraId="250BC906" w14:textId="77777777" w:rsidR="00EB6556" w:rsidRPr="00713B3E" w:rsidRDefault="00EB6556" w:rsidP="00C50D4D">
      <w:pPr>
        <w:spacing w:line="276" w:lineRule="auto"/>
        <w:jc w:val="both"/>
        <w:rPr>
          <w:rFonts w:cstheme="minorHAnsi"/>
        </w:rPr>
      </w:pPr>
      <w:r w:rsidRPr="00713B3E">
        <w:rPr>
          <w:rFonts w:cstheme="minorHAnsi"/>
        </w:rPr>
        <w:t xml:space="preserve"> Patients with a failing kidney transplant and </w:t>
      </w:r>
      <w:r>
        <w:rPr>
          <w:rFonts w:cstheme="minorHAnsi"/>
        </w:rPr>
        <w:t xml:space="preserve">a </w:t>
      </w:r>
      <w:r w:rsidRPr="00713B3E">
        <w:rPr>
          <w:rFonts w:cstheme="minorHAnsi"/>
        </w:rPr>
        <w:t xml:space="preserve">history of successfully treated cancer can be considered for kidney </w:t>
      </w:r>
      <w:r>
        <w:rPr>
          <w:rFonts w:cstheme="minorHAnsi"/>
        </w:rPr>
        <w:t>re-</w:t>
      </w:r>
      <w:r w:rsidRPr="00713B3E">
        <w:rPr>
          <w:rFonts w:cstheme="minorHAnsi"/>
        </w:rPr>
        <w:t xml:space="preserve">transplantation. However, it is important to estimate the risk of cancer recurrence and </w:t>
      </w:r>
      <w:r>
        <w:rPr>
          <w:rFonts w:cstheme="minorHAnsi"/>
        </w:rPr>
        <w:t xml:space="preserve">the </w:t>
      </w:r>
      <w:r w:rsidRPr="00713B3E">
        <w:rPr>
          <w:rFonts w:cstheme="minorHAnsi"/>
        </w:rPr>
        <w:t>patient</w:t>
      </w:r>
      <w:r>
        <w:rPr>
          <w:rFonts w:cstheme="minorHAnsi"/>
        </w:rPr>
        <w:t xml:space="preserve"> needs to be</w:t>
      </w:r>
      <w:r w:rsidRPr="00713B3E">
        <w:rPr>
          <w:rFonts w:cstheme="minorHAnsi"/>
        </w:rPr>
        <w:t xml:space="preserve"> counselled accordingly before </w:t>
      </w:r>
      <w:r>
        <w:rPr>
          <w:rFonts w:cstheme="minorHAnsi"/>
        </w:rPr>
        <w:t>being placed</w:t>
      </w:r>
      <w:r w:rsidRPr="00713B3E">
        <w:rPr>
          <w:rFonts w:cstheme="minorHAnsi"/>
        </w:rPr>
        <w:t xml:space="preserve"> on</w:t>
      </w:r>
      <w:r>
        <w:rPr>
          <w:rFonts w:cstheme="minorHAnsi"/>
        </w:rPr>
        <w:t xml:space="preserve"> the</w:t>
      </w:r>
      <w:r w:rsidRPr="00713B3E">
        <w:rPr>
          <w:rFonts w:cstheme="minorHAnsi"/>
        </w:rPr>
        <w:t xml:space="preserve"> deceased donor</w:t>
      </w:r>
      <w:r>
        <w:rPr>
          <w:rFonts w:cstheme="minorHAnsi"/>
        </w:rPr>
        <w:t xml:space="preserve"> waiting</w:t>
      </w:r>
      <w:r w:rsidRPr="00713B3E">
        <w:rPr>
          <w:rFonts w:cstheme="minorHAnsi"/>
        </w:rPr>
        <w:t xml:space="preserve"> list for </w:t>
      </w:r>
      <w:r>
        <w:rPr>
          <w:rFonts w:cstheme="minorHAnsi"/>
        </w:rPr>
        <w:t>a second or subsequent transplant</w:t>
      </w:r>
      <w:r w:rsidRPr="00713B3E">
        <w:rPr>
          <w:rFonts w:cstheme="minorHAnsi"/>
        </w:rPr>
        <w:t xml:space="preserve"> or proceeding with living donor transplantation. </w:t>
      </w:r>
      <w:r>
        <w:rPr>
          <w:rFonts w:cstheme="minorHAnsi"/>
        </w:rPr>
        <w:t>Solid organ cancer</w:t>
      </w:r>
      <w:r w:rsidRPr="00713B3E">
        <w:rPr>
          <w:rFonts w:cstheme="minorHAnsi"/>
        </w:rPr>
        <w:t xml:space="preserve"> recurrence is dependent on tumour type and </w:t>
      </w:r>
      <w:r>
        <w:rPr>
          <w:rFonts w:cstheme="minorHAnsi"/>
        </w:rPr>
        <w:t xml:space="preserve">the </w:t>
      </w:r>
      <w:r w:rsidRPr="00713B3E">
        <w:rPr>
          <w:rFonts w:cstheme="minorHAnsi"/>
        </w:rPr>
        <w:t xml:space="preserve">time interval between remission/cure and transplantation with </w:t>
      </w:r>
      <w:r>
        <w:rPr>
          <w:rFonts w:cstheme="minorHAnsi"/>
        </w:rPr>
        <w:t xml:space="preserve">a </w:t>
      </w:r>
      <w:r w:rsidRPr="00713B3E">
        <w:rPr>
          <w:rFonts w:cstheme="minorHAnsi"/>
        </w:rPr>
        <w:t xml:space="preserve">longer interval associated with </w:t>
      </w:r>
      <w:r>
        <w:rPr>
          <w:rFonts w:cstheme="minorHAnsi"/>
        </w:rPr>
        <w:t xml:space="preserve">a </w:t>
      </w:r>
      <w:r w:rsidRPr="00713B3E">
        <w:rPr>
          <w:rFonts w:cstheme="minorHAnsi"/>
        </w:rPr>
        <w:t xml:space="preserve">lower risk of recurrence. Overall, 53% of recurrences occur in patients transplanted within 2 years of cancer treatment, falling to 34% if the interval is 2-5 years and 13% if the interval is &gt; 5 years but this is dependent on </w:t>
      </w:r>
      <w:r>
        <w:rPr>
          <w:rFonts w:cstheme="minorHAnsi"/>
        </w:rPr>
        <w:t xml:space="preserve">the </w:t>
      </w:r>
      <w:r w:rsidRPr="00713B3E">
        <w:rPr>
          <w:rFonts w:cstheme="minorHAnsi"/>
        </w:rPr>
        <w:t xml:space="preserve">organ involved, stage and histological grade </w:t>
      </w:r>
      <w:r>
        <w:rPr>
          <w:rFonts w:cstheme="minorHAnsi"/>
        </w:rPr>
        <w:t>at the time of</w:t>
      </w:r>
      <w:r w:rsidRPr="00713B3E">
        <w:rPr>
          <w:rFonts w:cstheme="minorHAnsi"/>
        </w:rPr>
        <w:t xml:space="preserve"> diagnosis and </w:t>
      </w:r>
      <w:r>
        <w:rPr>
          <w:rFonts w:cstheme="minorHAnsi"/>
        </w:rPr>
        <w:t xml:space="preserve">the </w:t>
      </w:r>
      <w:r w:rsidRPr="00713B3E">
        <w:rPr>
          <w:rFonts w:cstheme="minorHAnsi"/>
        </w:rPr>
        <w:t xml:space="preserve">response to treatment. </w:t>
      </w:r>
      <w:r w:rsidRPr="00713B3E">
        <w:rPr>
          <w:rFonts w:cstheme="minorHAnsi"/>
          <w:vertAlign w:val="superscript"/>
        </w:rPr>
        <w:t>2,3</w:t>
      </w:r>
    </w:p>
    <w:p w14:paraId="502BAF4A" w14:textId="3720E79F" w:rsidR="00EB6556" w:rsidRDefault="00EB6556" w:rsidP="00C50D4D">
      <w:pPr>
        <w:spacing w:line="276" w:lineRule="auto"/>
        <w:jc w:val="both"/>
        <w:rPr>
          <w:rFonts w:cstheme="minorHAnsi"/>
          <w:color w:val="000000"/>
        </w:rPr>
      </w:pPr>
      <w:r w:rsidRPr="00713B3E">
        <w:rPr>
          <w:rFonts w:cstheme="minorHAnsi"/>
        </w:rPr>
        <w:t xml:space="preserve">Appendix </w:t>
      </w:r>
      <w:r w:rsidR="00C446C7">
        <w:rPr>
          <w:rFonts w:cstheme="minorHAnsi"/>
        </w:rPr>
        <w:t>9.</w:t>
      </w:r>
      <w:r>
        <w:rPr>
          <w:rFonts w:cstheme="minorHAnsi"/>
        </w:rPr>
        <w:t>1</w:t>
      </w:r>
      <w:r w:rsidRPr="00713B3E">
        <w:rPr>
          <w:rFonts w:cstheme="minorHAnsi"/>
        </w:rPr>
        <w:t xml:space="preserve"> recommends the waiting time following curative treatment of malignancy prior to proceeding to </w:t>
      </w:r>
      <w:r>
        <w:rPr>
          <w:rFonts w:cstheme="minorHAnsi"/>
        </w:rPr>
        <w:t>re-</w:t>
      </w:r>
      <w:r w:rsidRPr="00713B3E">
        <w:rPr>
          <w:rFonts w:cstheme="minorHAnsi"/>
        </w:rPr>
        <w:t>transplantation, adapted from a recent American consensus expert opinion</w:t>
      </w:r>
      <w:r w:rsidRPr="00713B3E">
        <w:rPr>
          <w:rFonts w:cstheme="minorHAnsi"/>
          <w:vertAlign w:val="superscript"/>
        </w:rPr>
        <w:t>2</w:t>
      </w:r>
      <w:r w:rsidRPr="00713B3E">
        <w:rPr>
          <w:rFonts w:cstheme="minorHAnsi"/>
        </w:rPr>
        <w:t xml:space="preserve">. It is essential to make decisions </w:t>
      </w:r>
      <w:r>
        <w:rPr>
          <w:rFonts w:cstheme="minorHAnsi"/>
        </w:rPr>
        <w:t>following</w:t>
      </w:r>
      <w:r w:rsidRPr="00713B3E">
        <w:rPr>
          <w:rFonts w:cstheme="minorHAnsi"/>
        </w:rPr>
        <w:t xml:space="preserve"> discussions with </w:t>
      </w:r>
      <w:r>
        <w:rPr>
          <w:rFonts w:cstheme="minorHAnsi"/>
        </w:rPr>
        <w:t xml:space="preserve">the </w:t>
      </w:r>
      <w:r w:rsidRPr="00713B3E">
        <w:rPr>
          <w:rFonts w:cstheme="minorHAnsi"/>
        </w:rPr>
        <w:t>treating Oncologist and Surgeon. Most recurrences occur within 3 years; generally, once</w:t>
      </w:r>
      <w:r w:rsidRPr="00713B3E">
        <w:rPr>
          <w:rFonts w:cstheme="minorHAnsi"/>
          <w:color w:val="000000"/>
          <w:highlight w:val="white"/>
        </w:rPr>
        <w:t xml:space="preserve"> a disease-free interval of 3–5 years after all treatments has been completed, patients could be considered as transplant candidates</w:t>
      </w:r>
      <w:r w:rsidRPr="00713B3E">
        <w:rPr>
          <w:rFonts w:cstheme="minorHAnsi"/>
          <w:color w:val="000000"/>
        </w:rPr>
        <w:t>.</w:t>
      </w:r>
    </w:p>
    <w:p w14:paraId="36F087FE" w14:textId="6C892460" w:rsidR="00EB6556" w:rsidRPr="00713B3E" w:rsidRDefault="00EB6556" w:rsidP="00C446C7">
      <w:pPr>
        <w:pStyle w:val="Heading3"/>
        <w:rPr>
          <w:sz w:val="22"/>
          <w:szCs w:val="22"/>
        </w:rPr>
      </w:pPr>
      <w:bookmarkStart w:id="135" w:name="_Toc128330040"/>
      <w:r>
        <w:t>R</w:t>
      </w:r>
      <w:r w:rsidR="00C50D4D">
        <w:t>eferences</w:t>
      </w:r>
      <w:bookmarkEnd w:id="135"/>
    </w:p>
    <w:p w14:paraId="449DFA82" w14:textId="77777777" w:rsidR="00EB6556" w:rsidRPr="00713B3E" w:rsidRDefault="00EB6556" w:rsidP="0082468C">
      <w:pPr>
        <w:spacing w:after="0" w:line="276" w:lineRule="auto"/>
        <w:ind w:left="720" w:hanging="720"/>
        <w:jc w:val="both"/>
        <w:rPr>
          <w:rFonts w:cstheme="minorHAnsi"/>
          <w:color w:val="212121"/>
        </w:rPr>
      </w:pPr>
      <w:r w:rsidRPr="00713B3E">
        <w:rPr>
          <w:rFonts w:cstheme="minorHAnsi"/>
          <w:color w:val="212121"/>
          <w:highlight w:val="white"/>
        </w:rPr>
        <w:t xml:space="preserve">1. </w:t>
      </w:r>
      <w:r w:rsidRPr="00713B3E">
        <w:rPr>
          <w:rFonts w:cstheme="minorHAnsi"/>
          <w:color w:val="212121"/>
          <w:highlight w:val="white"/>
        </w:rPr>
        <w:tab/>
        <w:t>Renal association and British Transplantation Society clinical practice guideline on post-operative care in the kidney transplant recipient. Richard J Baker, Patrick B Mark, Rajan K Patel, Kate K Stevens, Nicholas Palmer. BMC Nephrol. 2017; 18: 174</w:t>
      </w:r>
    </w:p>
    <w:p w14:paraId="7BA021E4" w14:textId="77777777" w:rsidR="00EB6556" w:rsidRPr="00713B3E" w:rsidRDefault="00EB6556" w:rsidP="0082468C">
      <w:pPr>
        <w:spacing w:after="0" w:line="276" w:lineRule="auto"/>
        <w:ind w:left="720" w:hanging="720"/>
        <w:jc w:val="both"/>
        <w:rPr>
          <w:rFonts w:cstheme="minorHAnsi"/>
          <w:color w:val="212121"/>
        </w:rPr>
      </w:pPr>
      <w:r w:rsidRPr="00713B3E">
        <w:rPr>
          <w:rFonts w:cstheme="minorHAnsi"/>
          <w:color w:val="212121"/>
        </w:rPr>
        <w:t xml:space="preserve">              (</w:t>
      </w:r>
      <w:r w:rsidRPr="00713B3E">
        <w:rPr>
          <w:rFonts w:cstheme="minorHAnsi"/>
          <w:color w:val="000000"/>
        </w:rPr>
        <w:t>https://bts.org.uk/wp-content/uploads/2017/06/FINAL_PostOperative_Care_Guideline.pdf)</w:t>
      </w:r>
    </w:p>
    <w:p w14:paraId="494131C5" w14:textId="77777777" w:rsidR="00EB6556" w:rsidRPr="00713B3E" w:rsidRDefault="00EB6556" w:rsidP="0082468C">
      <w:pPr>
        <w:pBdr>
          <w:top w:val="nil"/>
          <w:left w:val="nil"/>
          <w:bottom w:val="nil"/>
          <w:right w:val="nil"/>
          <w:between w:val="nil"/>
        </w:pBdr>
        <w:spacing w:after="0" w:line="276" w:lineRule="auto"/>
        <w:ind w:left="720" w:hanging="720"/>
        <w:jc w:val="both"/>
        <w:rPr>
          <w:rFonts w:cstheme="minorHAnsi"/>
          <w:color w:val="000000"/>
        </w:rPr>
      </w:pPr>
      <w:r w:rsidRPr="00713B3E">
        <w:rPr>
          <w:rFonts w:cstheme="minorHAnsi"/>
          <w:color w:val="000000"/>
        </w:rPr>
        <w:t>2.</w:t>
      </w:r>
      <w:r w:rsidRPr="00713B3E">
        <w:rPr>
          <w:rFonts w:cstheme="minorHAnsi"/>
          <w:color w:val="000000"/>
        </w:rPr>
        <w:tab/>
        <w:t xml:space="preserve">Al-Adra DP, Hammel L, Roberts J, et al. Pretransplant solid organ malignancy and organ transplant candidacy: A consensus expert opinion statement. Am J Transplant </w:t>
      </w:r>
      <w:proofErr w:type="gramStart"/>
      <w:r w:rsidRPr="00713B3E">
        <w:rPr>
          <w:rFonts w:cstheme="minorHAnsi"/>
          <w:color w:val="000000"/>
        </w:rPr>
        <w:t>2021;21:460</w:t>
      </w:r>
      <w:proofErr w:type="gramEnd"/>
      <w:r w:rsidRPr="00713B3E">
        <w:rPr>
          <w:rFonts w:cstheme="minorHAnsi"/>
          <w:color w:val="000000"/>
        </w:rPr>
        <w:t>-74.</w:t>
      </w:r>
    </w:p>
    <w:p w14:paraId="651F3BD7" w14:textId="0B107CBE" w:rsidR="00EB6556" w:rsidRDefault="00EB6556" w:rsidP="0082468C">
      <w:pPr>
        <w:pBdr>
          <w:top w:val="nil"/>
          <w:left w:val="nil"/>
          <w:bottom w:val="nil"/>
          <w:right w:val="nil"/>
          <w:between w:val="nil"/>
        </w:pBdr>
        <w:spacing w:after="0" w:line="276" w:lineRule="auto"/>
        <w:ind w:left="720" w:hanging="720"/>
        <w:jc w:val="both"/>
        <w:rPr>
          <w:rFonts w:cstheme="minorHAnsi"/>
          <w:color w:val="000000"/>
        </w:rPr>
      </w:pPr>
      <w:r w:rsidRPr="00713B3E">
        <w:rPr>
          <w:rFonts w:cstheme="minorHAnsi"/>
          <w:color w:val="000000"/>
        </w:rPr>
        <w:t>3.</w:t>
      </w:r>
      <w:r w:rsidRPr="00713B3E">
        <w:rPr>
          <w:rFonts w:cstheme="minorHAnsi"/>
          <w:color w:val="000000"/>
        </w:rPr>
        <w:tab/>
        <w:t xml:space="preserve">Acuna SA, Sutradhar R, Kim SJ, Baxter NN. Solid Organ Transplantation in Patients </w:t>
      </w:r>
      <w:proofErr w:type="gramStart"/>
      <w:r w:rsidRPr="00713B3E">
        <w:rPr>
          <w:rFonts w:cstheme="minorHAnsi"/>
          <w:color w:val="000000"/>
        </w:rPr>
        <w:t>With</w:t>
      </w:r>
      <w:proofErr w:type="gramEnd"/>
      <w:r w:rsidRPr="00713B3E">
        <w:rPr>
          <w:rFonts w:cstheme="minorHAnsi"/>
          <w:color w:val="000000"/>
        </w:rPr>
        <w:t xml:space="preserve"> </w:t>
      </w:r>
      <w:r>
        <w:rPr>
          <w:rFonts w:cstheme="minorHAnsi"/>
          <w:color w:val="000000"/>
        </w:rPr>
        <w:t>Pre-existing</w:t>
      </w:r>
      <w:r w:rsidRPr="00713B3E">
        <w:rPr>
          <w:rFonts w:cstheme="minorHAnsi"/>
          <w:color w:val="000000"/>
        </w:rPr>
        <w:t xml:space="preserve"> Malignancies in Remission: A Propensity Score Matched Cohort Study. Transplantation </w:t>
      </w:r>
      <w:proofErr w:type="gramStart"/>
      <w:r w:rsidRPr="00713B3E">
        <w:rPr>
          <w:rFonts w:cstheme="minorHAnsi"/>
          <w:color w:val="000000"/>
        </w:rPr>
        <w:t>2018;102:1156</w:t>
      </w:r>
      <w:proofErr w:type="gramEnd"/>
      <w:r w:rsidRPr="00713B3E">
        <w:rPr>
          <w:rFonts w:cstheme="minorHAnsi"/>
          <w:color w:val="000000"/>
        </w:rPr>
        <w:t>-64.</w:t>
      </w:r>
    </w:p>
    <w:p w14:paraId="128E4AD2" w14:textId="77D9288C" w:rsidR="00C959D0" w:rsidRDefault="00C959D0" w:rsidP="0082468C">
      <w:pPr>
        <w:pBdr>
          <w:top w:val="nil"/>
          <w:left w:val="nil"/>
          <w:bottom w:val="nil"/>
          <w:right w:val="nil"/>
          <w:between w:val="nil"/>
        </w:pBdr>
        <w:spacing w:after="0" w:line="276" w:lineRule="auto"/>
        <w:ind w:left="720" w:hanging="720"/>
        <w:jc w:val="both"/>
        <w:rPr>
          <w:rFonts w:cstheme="minorHAnsi"/>
          <w:color w:val="000000"/>
        </w:rPr>
      </w:pPr>
    </w:p>
    <w:p w14:paraId="40525F13" w14:textId="77777777" w:rsidR="00C959D0" w:rsidRPr="00F5715E" w:rsidRDefault="00C959D0" w:rsidP="00C959D0">
      <w:pPr>
        <w:pStyle w:val="Heading3"/>
        <w:rPr>
          <w:highlight w:val="white"/>
        </w:rPr>
      </w:pPr>
      <w:bookmarkStart w:id="136" w:name="_Toc128330041"/>
      <w:r w:rsidRPr="00F5715E">
        <w:rPr>
          <w:highlight w:val="white"/>
        </w:rPr>
        <w:t xml:space="preserve">Appendix </w:t>
      </w:r>
      <w:r>
        <w:rPr>
          <w:highlight w:val="white"/>
        </w:rPr>
        <w:t>9.1</w:t>
      </w:r>
      <w:bookmarkEnd w:id="136"/>
    </w:p>
    <w:p w14:paraId="33163A9D" w14:textId="77777777" w:rsidR="00C959D0" w:rsidRPr="005C1915" w:rsidRDefault="00C959D0" w:rsidP="00C959D0">
      <w:pPr>
        <w:jc w:val="both"/>
        <w:rPr>
          <w:b/>
          <w:color w:val="002060"/>
          <w:sz w:val="28"/>
          <w:szCs w:val="28"/>
        </w:rPr>
      </w:pPr>
      <w:r w:rsidRPr="005C1915">
        <w:rPr>
          <w:b/>
          <w:color w:val="002060"/>
          <w:sz w:val="24"/>
          <w:szCs w:val="24"/>
          <w:highlight w:val="white"/>
        </w:rPr>
        <w:t>Recommended wait time for transplant candidates with prior history of</w:t>
      </w:r>
      <w:r w:rsidRPr="005C1915">
        <w:rPr>
          <w:b/>
          <w:color w:val="002060"/>
          <w:sz w:val="28"/>
          <w:szCs w:val="28"/>
        </w:rPr>
        <w:t>:</w:t>
      </w:r>
    </w:p>
    <w:p w14:paraId="76D36349" w14:textId="77777777" w:rsidR="00C959D0" w:rsidRPr="005C1915" w:rsidRDefault="00C959D0" w:rsidP="00C959D0">
      <w:pPr>
        <w:jc w:val="both"/>
        <w:rPr>
          <w:b/>
          <w:color w:val="002060"/>
          <w:sz w:val="24"/>
          <w:szCs w:val="24"/>
        </w:rPr>
      </w:pPr>
      <w:r w:rsidRPr="005C1915">
        <w:rPr>
          <w:b/>
          <w:color w:val="002060"/>
          <w:sz w:val="24"/>
          <w:szCs w:val="24"/>
        </w:rPr>
        <w:t>Breast cancer</w:t>
      </w:r>
    </w:p>
    <w:tbl>
      <w:tblPr>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4"/>
        <w:gridCol w:w="3005"/>
        <w:gridCol w:w="3006"/>
      </w:tblGrid>
      <w:tr w:rsidR="00C959D0" w:rsidRPr="006D2071" w14:paraId="7C0B0E9A" w14:textId="77777777" w:rsidTr="00961943">
        <w:tc>
          <w:tcPr>
            <w:tcW w:w="3005" w:type="dxa"/>
            <w:tcBorders>
              <w:top w:val="single" w:sz="4" w:space="0" w:color="000000"/>
              <w:left w:val="single" w:sz="4" w:space="0" w:color="000000"/>
              <w:bottom w:val="single" w:sz="4" w:space="0" w:color="000000"/>
              <w:right w:val="single" w:sz="4" w:space="0" w:color="000000"/>
            </w:tcBorders>
            <w:hideMark/>
          </w:tcPr>
          <w:p w14:paraId="2694E7F3" w14:textId="77777777" w:rsidR="00C959D0" w:rsidRPr="006D2071" w:rsidRDefault="00C959D0" w:rsidP="00961943">
            <w:pPr>
              <w:rPr>
                <w:rFonts w:cstheme="minorHAnsi"/>
                <w:b/>
                <w:sz w:val="24"/>
                <w:szCs w:val="24"/>
              </w:rPr>
            </w:pPr>
            <w:r w:rsidRPr="006D2071">
              <w:rPr>
                <w:rFonts w:cstheme="minorHAnsi"/>
                <w:b/>
                <w:sz w:val="24"/>
                <w:szCs w:val="24"/>
              </w:rPr>
              <w:t>Risk/Stage</w:t>
            </w:r>
          </w:p>
        </w:tc>
        <w:tc>
          <w:tcPr>
            <w:tcW w:w="3005" w:type="dxa"/>
            <w:tcBorders>
              <w:top w:val="single" w:sz="4" w:space="0" w:color="000000"/>
              <w:left w:val="single" w:sz="4" w:space="0" w:color="000000"/>
              <w:bottom w:val="single" w:sz="4" w:space="0" w:color="000000"/>
              <w:right w:val="single" w:sz="4" w:space="0" w:color="000000"/>
            </w:tcBorders>
            <w:hideMark/>
          </w:tcPr>
          <w:p w14:paraId="399315A4" w14:textId="77777777" w:rsidR="00C959D0" w:rsidRPr="006D2071" w:rsidRDefault="00C959D0" w:rsidP="00961943">
            <w:pPr>
              <w:rPr>
                <w:rFonts w:cstheme="minorHAnsi"/>
                <w:b/>
                <w:sz w:val="24"/>
                <w:szCs w:val="24"/>
              </w:rPr>
            </w:pPr>
            <w:r w:rsidRPr="006D2071">
              <w:rPr>
                <w:rFonts w:cstheme="minorHAnsi"/>
                <w:b/>
                <w:sz w:val="24"/>
                <w:szCs w:val="24"/>
              </w:rPr>
              <w:t>Recommended time interval to transplant</w:t>
            </w:r>
          </w:p>
        </w:tc>
        <w:tc>
          <w:tcPr>
            <w:tcW w:w="3006" w:type="dxa"/>
            <w:tcBorders>
              <w:top w:val="single" w:sz="4" w:space="0" w:color="000000"/>
              <w:left w:val="single" w:sz="4" w:space="0" w:color="000000"/>
              <w:bottom w:val="single" w:sz="4" w:space="0" w:color="000000"/>
              <w:right w:val="single" w:sz="4" w:space="0" w:color="000000"/>
            </w:tcBorders>
            <w:hideMark/>
          </w:tcPr>
          <w:p w14:paraId="5AB20F8A" w14:textId="77777777" w:rsidR="00C959D0" w:rsidRPr="006D2071" w:rsidRDefault="00C959D0" w:rsidP="00961943">
            <w:pPr>
              <w:rPr>
                <w:rFonts w:cstheme="minorHAnsi"/>
                <w:b/>
                <w:sz w:val="24"/>
                <w:szCs w:val="24"/>
              </w:rPr>
            </w:pPr>
            <w:r w:rsidRPr="006D2071">
              <w:rPr>
                <w:rFonts w:cstheme="minorHAnsi"/>
                <w:b/>
                <w:sz w:val="24"/>
                <w:szCs w:val="24"/>
              </w:rPr>
              <w:t>Additional considerations</w:t>
            </w:r>
          </w:p>
        </w:tc>
      </w:tr>
      <w:tr w:rsidR="00C959D0" w:rsidRPr="006D2071" w14:paraId="2ABBA303" w14:textId="77777777" w:rsidTr="00961943">
        <w:trPr>
          <w:trHeight w:val="2433"/>
        </w:trPr>
        <w:tc>
          <w:tcPr>
            <w:tcW w:w="3005" w:type="dxa"/>
            <w:tcBorders>
              <w:top w:val="single" w:sz="4" w:space="0" w:color="000000"/>
              <w:left w:val="single" w:sz="4" w:space="0" w:color="000000"/>
              <w:bottom w:val="single" w:sz="4" w:space="0" w:color="000000"/>
              <w:right w:val="single" w:sz="4" w:space="0" w:color="000000"/>
            </w:tcBorders>
            <w:hideMark/>
          </w:tcPr>
          <w:p w14:paraId="4F3C123F" w14:textId="77777777" w:rsidR="00C959D0" w:rsidRPr="006D2071" w:rsidRDefault="00C959D0" w:rsidP="00961943">
            <w:pPr>
              <w:rPr>
                <w:rFonts w:cstheme="minorHAnsi"/>
                <w:sz w:val="24"/>
                <w:szCs w:val="24"/>
              </w:rPr>
            </w:pPr>
            <w:r w:rsidRPr="006D2071">
              <w:rPr>
                <w:rFonts w:cstheme="minorHAnsi"/>
                <w:sz w:val="24"/>
                <w:szCs w:val="24"/>
              </w:rPr>
              <w:lastRenderedPageBreak/>
              <w:t>Low risk: Ductal carcinoma in situ and stage I</w:t>
            </w:r>
          </w:p>
        </w:tc>
        <w:tc>
          <w:tcPr>
            <w:tcW w:w="3005" w:type="dxa"/>
            <w:tcBorders>
              <w:top w:val="single" w:sz="4" w:space="0" w:color="000000"/>
              <w:left w:val="single" w:sz="4" w:space="0" w:color="000000"/>
              <w:bottom w:val="single" w:sz="4" w:space="0" w:color="000000"/>
              <w:right w:val="single" w:sz="4" w:space="0" w:color="000000"/>
            </w:tcBorders>
            <w:hideMark/>
          </w:tcPr>
          <w:p w14:paraId="4E94CEBB" w14:textId="77777777" w:rsidR="00C959D0" w:rsidRPr="006D2071" w:rsidRDefault="00C959D0" w:rsidP="00961943">
            <w:pPr>
              <w:rPr>
                <w:rFonts w:cstheme="minorHAnsi"/>
                <w:sz w:val="24"/>
                <w:szCs w:val="24"/>
              </w:rPr>
            </w:pPr>
            <w:r w:rsidRPr="006D2071">
              <w:rPr>
                <w:rFonts w:cstheme="minorHAnsi"/>
                <w:sz w:val="24"/>
                <w:szCs w:val="24"/>
              </w:rPr>
              <w:t>No wait time</w:t>
            </w:r>
          </w:p>
        </w:tc>
        <w:tc>
          <w:tcPr>
            <w:tcW w:w="3006" w:type="dxa"/>
            <w:tcBorders>
              <w:top w:val="single" w:sz="4" w:space="0" w:color="000000"/>
              <w:left w:val="single" w:sz="4" w:space="0" w:color="000000"/>
              <w:bottom w:val="single" w:sz="4" w:space="0" w:color="000000"/>
              <w:right w:val="single" w:sz="4" w:space="0" w:color="000000"/>
            </w:tcBorders>
          </w:tcPr>
          <w:p w14:paraId="3DCBBF97" w14:textId="77777777" w:rsidR="00C959D0" w:rsidRPr="006D2071" w:rsidRDefault="00C959D0" w:rsidP="00961943">
            <w:pPr>
              <w:rPr>
                <w:rFonts w:cstheme="minorHAnsi"/>
                <w:sz w:val="24"/>
                <w:szCs w:val="24"/>
              </w:rPr>
            </w:pPr>
            <w:r w:rsidRPr="006D2071">
              <w:rPr>
                <w:rFonts w:cstheme="minorHAnsi"/>
                <w:sz w:val="24"/>
                <w:szCs w:val="24"/>
              </w:rPr>
              <w:t>Continuation of endocrine therapy is not a contraindication for transplantation. Oestrogen receptor-negative disease may have a slightly higher rate of recurrence in the first 2-3 years</w:t>
            </w:r>
          </w:p>
          <w:p w14:paraId="4C81CDA9" w14:textId="77777777" w:rsidR="00C959D0" w:rsidRPr="006D2071" w:rsidRDefault="00C959D0" w:rsidP="00961943">
            <w:pPr>
              <w:rPr>
                <w:rFonts w:cstheme="minorHAnsi"/>
                <w:sz w:val="24"/>
                <w:szCs w:val="24"/>
              </w:rPr>
            </w:pPr>
          </w:p>
        </w:tc>
      </w:tr>
      <w:tr w:rsidR="00C959D0" w:rsidRPr="006D2071" w14:paraId="567F5DF1" w14:textId="77777777" w:rsidTr="00961943">
        <w:tc>
          <w:tcPr>
            <w:tcW w:w="3005" w:type="dxa"/>
            <w:tcBorders>
              <w:top w:val="single" w:sz="4" w:space="0" w:color="000000"/>
              <w:left w:val="single" w:sz="4" w:space="0" w:color="000000"/>
              <w:bottom w:val="single" w:sz="4" w:space="0" w:color="000000"/>
              <w:right w:val="single" w:sz="4" w:space="0" w:color="000000"/>
            </w:tcBorders>
            <w:hideMark/>
          </w:tcPr>
          <w:p w14:paraId="7B698307" w14:textId="77777777" w:rsidR="00C959D0" w:rsidRPr="006D2071" w:rsidRDefault="00C959D0" w:rsidP="00961943">
            <w:pPr>
              <w:rPr>
                <w:rFonts w:cstheme="minorHAnsi"/>
                <w:sz w:val="24"/>
                <w:szCs w:val="24"/>
              </w:rPr>
            </w:pPr>
            <w:r w:rsidRPr="006D2071">
              <w:rPr>
                <w:rFonts w:cstheme="minorHAnsi"/>
                <w:sz w:val="24"/>
                <w:szCs w:val="24"/>
              </w:rPr>
              <w:t>Intermediate Risk</w:t>
            </w:r>
          </w:p>
          <w:p w14:paraId="19D494B0" w14:textId="77777777" w:rsidR="00C959D0" w:rsidRPr="006D2071" w:rsidRDefault="00C959D0" w:rsidP="00961943">
            <w:pPr>
              <w:rPr>
                <w:rFonts w:cstheme="minorHAnsi"/>
                <w:sz w:val="24"/>
                <w:szCs w:val="24"/>
              </w:rPr>
            </w:pPr>
            <w:r w:rsidRPr="006D2071">
              <w:rPr>
                <w:rFonts w:cstheme="minorHAnsi"/>
                <w:sz w:val="24"/>
                <w:szCs w:val="24"/>
              </w:rPr>
              <w:t>Stage II</w:t>
            </w:r>
          </w:p>
        </w:tc>
        <w:tc>
          <w:tcPr>
            <w:tcW w:w="3005" w:type="dxa"/>
            <w:tcBorders>
              <w:top w:val="single" w:sz="4" w:space="0" w:color="000000"/>
              <w:left w:val="single" w:sz="4" w:space="0" w:color="000000"/>
              <w:bottom w:val="single" w:sz="4" w:space="0" w:color="000000"/>
              <w:right w:val="single" w:sz="4" w:space="0" w:color="000000"/>
            </w:tcBorders>
            <w:hideMark/>
          </w:tcPr>
          <w:p w14:paraId="0B58E235" w14:textId="77777777" w:rsidR="00C959D0" w:rsidRPr="006D2071" w:rsidRDefault="00C959D0" w:rsidP="00961943">
            <w:pPr>
              <w:rPr>
                <w:rFonts w:cstheme="minorHAnsi"/>
                <w:sz w:val="24"/>
                <w:szCs w:val="24"/>
              </w:rPr>
            </w:pPr>
            <w:r w:rsidRPr="006D2071">
              <w:rPr>
                <w:rFonts w:cstheme="minorHAnsi"/>
                <w:sz w:val="24"/>
                <w:szCs w:val="24"/>
              </w:rPr>
              <w:t>2 Years</w:t>
            </w:r>
          </w:p>
        </w:tc>
        <w:tc>
          <w:tcPr>
            <w:tcW w:w="3006" w:type="dxa"/>
            <w:tcBorders>
              <w:top w:val="single" w:sz="4" w:space="0" w:color="000000"/>
              <w:left w:val="single" w:sz="4" w:space="0" w:color="000000"/>
              <w:bottom w:val="single" w:sz="4" w:space="0" w:color="000000"/>
              <w:right w:val="single" w:sz="4" w:space="0" w:color="000000"/>
            </w:tcBorders>
          </w:tcPr>
          <w:p w14:paraId="6BEABC8E" w14:textId="77777777" w:rsidR="00C959D0" w:rsidRPr="006D2071" w:rsidRDefault="00C959D0" w:rsidP="00961943">
            <w:pPr>
              <w:rPr>
                <w:rFonts w:cstheme="minorHAnsi"/>
                <w:sz w:val="24"/>
                <w:szCs w:val="24"/>
              </w:rPr>
            </w:pPr>
            <w:r w:rsidRPr="006D2071">
              <w:rPr>
                <w:rFonts w:cstheme="minorHAnsi"/>
                <w:sz w:val="24"/>
                <w:szCs w:val="24"/>
              </w:rPr>
              <w:t xml:space="preserve">Oestrogen </w:t>
            </w:r>
            <w:r>
              <w:rPr>
                <w:rFonts w:cstheme="minorHAnsi"/>
                <w:sz w:val="24"/>
                <w:szCs w:val="24"/>
              </w:rPr>
              <w:t>receptor-negative</w:t>
            </w:r>
            <w:r w:rsidRPr="006D2071">
              <w:rPr>
                <w:rFonts w:cstheme="minorHAnsi"/>
                <w:sz w:val="24"/>
                <w:szCs w:val="24"/>
              </w:rPr>
              <w:t xml:space="preserve"> disease may have slightly higher rate of recurrence in first 2-3 years</w:t>
            </w:r>
          </w:p>
          <w:p w14:paraId="2750815C" w14:textId="77777777" w:rsidR="00C959D0" w:rsidRPr="006D2071" w:rsidRDefault="00C959D0" w:rsidP="00961943">
            <w:pPr>
              <w:rPr>
                <w:rFonts w:cstheme="minorHAnsi"/>
                <w:sz w:val="24"/>
                <w:szCs w:val="24"/>
              </w:rPr>
            </w:pPr>
          </w:p>
        </w:tc>
      </w:tr>
      <w:tr w:rsidR="00C959D0" w:rsidRPr="006D2071" w14:paraId="640FD87D" w14:textId="77777777" w:rsidTr="00961943">
        <w:tc>
          <w:tcPr>
            <w:tcW w:w="3005" w:type="dxa"/>
            <w:tcBorders>
              <w:top w:val="single" w:sz="4" w:space="0" w:color="000000"/>
              <w:left w:val="single" w:sz="4" w:space="0" w:color="000000"/>
              <w:bottom w:val="single" w:sz="4" w:space="0" w:color="000000"/>
              <w:right w:val="single" w:sz="4" w:space="0" w:color="000000"/>
            </w:tcBorders>
            <w:hideMark/>
          </w:tcPr>
          <w:p w14:paraId="6F43D73E" w14:textId="77777777" w:rsidR="00C959D0" w:rsidRPr="006D2071" w:rsidRDefault="00C959D0" w:rsidP="00961943">
            <w:pPr>
              <w:rPr>
                <w:rFonts w:cstheme="minorHAnsi"/>
                <w:sz w:val="24"/>
                <w:szCs w:val="24"/>
              </w:rPr>
            </w:pPr>
            <w:r w:rsidRPr="006D2071">
              <w:rPr>
                <w:rFonts w:cstheme="minorHAnsi"/>
                <w:sz w:val="24"/>
                <w:szCs w:val="24"/>
              </w:rPr>
              <w:t>High risk</w:t>
            </w:r>
          </w:p>
          <w:p w14:paraId="18A5468F" w14:textId="77777777" w:rsidR="00C959D0" w:rsidRPr="006D2071" w:rsidRDefault="00C959D0" w:rsidP="00961943">
            <w:pPr>
              <w:rPr>
                <w:rFonts w:cstheme="minorHAnsi"/>
                <w:sz w:val="24"/>
                <w:szCs w:val="24"/>
              </w:rPr>
            </w:pPr>
            <w:r w:rsidRPr="006D2071">
              <w:rPr>
                <w:rFonts w:cstheme="minorHAnsi"/>
                <w:sz w:val="24"/>
                <w:szCs w:val="24"/>
              </w:rPr>
              <w:t>Stage III</w:t>
            </w:r>
          </w:p>
        </w:tc>
        <w:tc>
          <w:tcPr>
            <w:tcW w:w="3005" w:type="dxa"/>
            <w:tcBorders>
              <w:top w:val="single" w:sz="4" w:space="0" w:color="000000"/>
              <w:left w:val="single" w:sz="4" w:space="0" w:color="000000"/>
              <w:bottom w:val="single" w:sz="4" w:space="0" w:color="000000"/>
              <w:right w:val="single" w:sz="4" w:space="0" w:color="000000"/>
            </w:tcBorders>
            <w:hideMark/>
          </w:tcPr>
          <w:p w14:paraId="1790981F" w14:textId="77777777" w:rsidR="00C959D0" w:rsidRPr="006D2071" w:rsidRDefault="00C959D0" w:rsidP="00961943">
            <w:pPr>
              <w:rPr>
                <w:rFonts w:cstheme="minorHAnsi"/>
                <w:sz w:val="24"/>
                <w:szCs w:val="24"/>
              </w:rPr>
            </w:pPr>
            <w:r w:rsidRPr="006D2071">
              <w:rPr>
                <w:rFonts w:cstheme="minorHAnsi"/>
                <w:sz w:val="24"/>
                <w:szCs w:val="24"/>
              </w:rPr>
              <w:t>3-5 Years</w:t>
            </w:r>
          </w:p>
        </w:tc>
        <w:tc>
          <w:tcPr>
            <w:tcW w:w="3006" w:type="dxa"/>
            <w:tcBorders>
              <w:top w:val="single" w:sz="4" w:space="0" w:color="000000"/>
              <w:left w:val="single" w:sz="4" w:space="0" w:color="000000"/>
              <w:bottom w:val="single" w:sz="4" w:space="0" w:color="000000"/>
              <w:right w:val="single" w:sz="4" w:space="0" w:color="000000"/>
            </w:tcBorders>
          </w:tcPr>
          <w:p w14:paraId="21288B45" w14:textId="77777777" w:rsidR="00C959D0" w:rsidRPr="006D2071" w:rsidRDefault="00C959D0" w:rsidP="00961943">
            <w:pPr>
              <w:rPr>
                <w:rFonts w:cstheme="minorHAnsi"/>
                <w:sz w:val="24"/>
                <w:szCs w:val="24"/>
              </w:rPr>
            </w:pPr>
            <w:r w:rsidRPr="006D2071">
              <w:rPr>
                <w:rFonts w:cstheme="minorHAnsi"/>
                <w:sz w:val="24"/>
                <w:szCs w:val="24"/>
              </w:rPr>
              <w:t>Oestrogen receptor-negative disease may have slightly higher rate of recurrence in first 2-3 years.</w:t>
            </w:r>
          </w:p>
          <w:p w14:paraId="2B739DC6" w14:textId="77777777" w:rsidR="00C959D0" w:rsidRPr="006D2071" w:rsidRDefault="00C959D0" w:rsidP="00961943">
            <w:pPr>
              <w:rPr>
                <w:rFonts w:cstheme="minorHAnsi"/>
                <w:sz w:val="24"/>
                <w:szCs w:val="24"/>
              </w:rPr>
            </w:pPr>
            <w:r w:rsidRPr="006D2071">
              <w:rPr>
                <w:rFonts w:cstheme="minorHAnsi"/>
                <w:sz w:val="24"/>
                <w:szCs w:val="24"/>
              </w:rPr>
              <w:t>Inflammatory breast cancer likely has a higher risk of recurrence and worse survival</w:t>
            </w:r>
          </w:p>
          <w:p w14:paraId="0D788841" w14:textId="77777777" w:rsidR="00C959D0" w:rsidRPr="006D2071" w:rsidRDefault="00C959D0" w:rsidP="00961943">
            <w:pPr>
              <w:rPr>
                <w:rFonts w:cstheme="minorHAnsi"/>
                <w:sz w:val="24"/>
                <w:szCs w:val="24"/>
              </w:rPr>
            </w:pPr>
          </w:p>
        </w:tc>
      </w:tr>
    </w:tbl>
    <w:p w14:paraId="4EF11A10" w14:textId="77777777" w:rsidR="00C959D0" w:rsidRPr="006D2071" w:rsidRDefault="00C959D0" w:rsidP="00C959D0">
      <w:pPr>
        <w:rPr>
          <w:rFonts w:cstheme="minorHAnsi"/>
          <w:b/>
          <w:bCs/>
          <w:color w:val="000000"/>
          <w:sz w:val="24"/>
          <w:szCs w:val="24"/>
          <w:highlight w:val="white"/>
        </w:rPr>
      </w:pPr>
    </w:p>
    <w:p w14:paraId="1281ABCF" w14:textId="77777777" w:rsidR="00C959D0" w:rsidRPr="005C1915" w:rsidRDefault="00C959D0" w:rsidP="00C959D0">
      <w:pPr>
        <w:rPr>
          <w:rFonts w:cstheme="minorHAnsi"/>
          <w:b/>
          <w:bCs/>
          <w:color w:val="002060"/>
          <w:sz w:val="24"/>
          <w:szCs w:val="24"/>
          <w:highlight w:val="white"/>
        </w:rPr>
      </w:pPr>
      <w:r w:rsidRPr="005C1915">
        <w:rPr>
          <w:rFonts w:cstheme="minorHAnsi"/>
          <w:b/>
          <w:bCs/>
          <w:color w:val="002060"/>
          <w:sz w:val="24"/>
          <w:szCs w:val="24"/>
          <w:highlight w:val="white"/>
        </w:rPr>
        <w:t>Colon cancer</w:t>
      </w:r>
    </w:p>
    <w:tbl>
      <w:tblPr>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4"/>
        <w:gridCol w:w="3005"/>
        <w:gridCol w:w="3006"/>
      </w:tblGrid>
      <w:tr w:rsidR="00C959D0" w:rsidRPr="006D2071" w14:paraId="160EEA42" w14:textId="77777777" w:rsidTr="00961943">
        <w:tc>
          <w:tcPr>
            <w:tcW w:w="3005" w:type="dxa"/>
            <w:tcBorders>
              <w:top w:val="single" w:sz="4" w:space="0" w:color="000000"/>
              <w:left w:val="single" w:sz="4" w:space="0" w:color="000000"/>
              <w:bottom w:val="single" w:sz="4" w:space="0" w:color="000000"/>
              <w:right w:val="single" w:sz="4" w:space="0" w:color="000000"/>
            </w:tcBorders>
            <w:hideMark/>
          </w:tcPr>
          <w:p w14:paraId="13A8EF6E" w14:textId="77777777" w:rsidR="00C959D0" w:rsidRPr="006D2071" w:rsidRDefault="00C959D0" w:rsidP="00961943">
            <w:pPr>
              <w:rPr>
                <w:rFonts w:cstheme="minorHAnsi"/>
                <w:b/>
                <w:sz w:val="24"/>
                <w:szCs w:val="24"/>
              </w:rPr>
            </w:pPr>
            <w:r w:rsidRPr="006D2071">
              <w:rPr>
                <w:rFonts w:cstheme="minorHAnsi"/>
                <w:b/>
                <w:sz w:val="24"/>
                <w:szCs w:val="24"/>
              </w:rPr>
              <w:t>Risk/Stage</w:t>
            </w:r>
          </w:p>
        </w:tc>
        <w:tc>
          <w:tcPr>
            <w:tcW w:w="3005" w:type="dxa"/>
            <w:tcBorders>
              <w:top w:val="single" w:sz="4" w:space="0" w:color="000000"/>
              <w:left w:val="single" w:sz="4" w:space="0" w:color="000000"/>
              <w:bottom w:val="single" w:sz="4" w:space="0" w:color="000000"/>
              <w:right w:val="single" w:sz="4" w:space="0" w:color="000000"/>
            </w:tcBorders>
            <w:hideMark/>
          </w:tcPr>
          <w:p w14:paraId="52F61086" w14:textId="77777777" w:rsidR="00C959D0" w:rsidRPr="006D2071" w:rsidRDefault="00C959D0" w:rsidP="00961943">
            <w:pPr>
              <w:rPr>
                <w:rFonts w:cstheme="minorHAnsi"/>
                <w:b/>
                <w:sz w:val="24"/>
                <w:szCs w:val="24"/>
              </w:rPr>
            </w:pPr>
            <w:r w:rsidRPr="006D2071">
              <w:rPr>
                <w:rFonts w:cstheme="minorHAnsi"/>
                <w:b/>
                <w:sz w:val="24"/>
                <w:szCs w:val="24"/>
              </w:rPr>
              <w:t>Recommended time interval to transplant</w:t>
            </w:r>
          </w:p>
        </w:tc>
        <w:tc>
          <w:tcPr>
            <w:tcW w:w="3006" w:type="dxa"/>
            <w:tcBorders>
              <w:top w:val="single" w:sz="4" w:space="0" w:color="000000"/>
              <w:left w:val="single" w:sz="4" w:space="0" w:color="000000"/>
              <w:bottom w:val="single" w:sz="4" w:space="0" w:color="000000"/>
              <w:right w:val="single" w:sz="4" w:space="0" w:color="000000"/>
            </w:tcBorders>
            <w:hideMark/>
          </w:tcPr>
          <w:p w14:paraId="44E4BC0C" w14:textId="77777777" w:rsidR="00C959D0" w:rsidRPr="006D2071" w:rsidRDefault="00C959D0" w:rsidP="00961943">
            <w:pPr>
              <w:rPr>
                <w:rFonts w:cstheme="minorHAnsi"/>
                <w:b/>
                <w:sz w:val="24"/>
                <w:szCs w:val="24"/>
              </w:rPr>
            </w:pPr>
            <w:r w:rsidRPr="006D2071">
              <w:rPr>
                <w:rFonts w:cstheme="minorHAnsi"/>
                <w:b/>
                <w:sz w:val="24"/>
                <w:szCs w:val="24"/>
              </w:rPr>
              <w:t>Additional considerations</w:t>
            </w:r>
          </w:p>
        </w:tc>
      </w:tr>
      <w:tr w:rsidR="00C959D0" w:rsidRPr="006D2071" w14:paraId="340FF814" w14:textId="77777777" w:rsidTr="00961943">
        <w:tc>
          <w:tcPr>
            <w:tcW w:w="3005" w:type="dxa"/>
            <w:tcBorders>
              <w:top w:val="single" w:sz="4" w:space="0" w:color="000000"/>
              <w:left w:val="single" w:sz="4" w:space="0" w:color="000000"/>
              <w:bottom w:val="single" w:sz="4" w:space="0" w:color="000000"/>
              <w:right w:val="single" w:sz="4" w:space="0" w:color="000000"/>
            </w:tcBorders>
            <w:hideMark/>
          </w:tcPr>
          <w:p w14:paraId="553DADE8" w14:textId="77777777" w:rsidR="00C959D0" w:rsidRPr="006D2071" w:rsidRDefault="00C959D0" w:rsidP="00961943">
            <w:pPr>
              <w:rPr>
                <w:rFonts w:cstheme="minorHAnsi"/>
                <w:sz w:val="24"/>
                <w:szCs w:val="24"/>
              </w:rPr>
            </w:pPr>
            <w:r w:rsidRPr="006D2071">
              <w:rPr>
                <w:rFonts w:cstheme="minorHAnsi"/>
                <w:sz w:val="24"/>
                <w:szCs w:val="24"/>
              </w:rPr>
              <w:t>Low risk</w:t>
            </w:r>
          </w:p>
          <w:p w14:paraId="3A458582" w14:textId="77777777" w:rsidR="00C959D0" w:rsidRPr="006D2071" w:rsidRDefault="00C959D0" w:rsidP="00961943">
            <w:pPr>
              <w:rPr>
                <w:rFonts w:cstheme="minorHAnsi"/>
                <w:sz w:val="24"/>
                <w:szCs w:val="24"/>
              </w:rPr>
            </w:pPr>
            <w:r w:rsidRPr="006D2071">
              <w:rPr>
                <w:rFonts w:cstheme="minorHAnsi"/>
                <w:sz w:val="24"/>
                <w:szCs w:val="24"/>
              </w:rPr>
              <w:t>Stage I (T1 or T2, N0, M0)</w:t>
            </w:r>
          </w:p>
        </w:tc>
        <w:tc>
          <w:tcPr>
            <w:tcW w:w="3005" w:type="dxa"/>
            <w:tcBorders>
              <w:top w:val="single" w:sz="4" w:space="0" w:color="000000"/>
              <w:left w:val="single" w:sz="4" w:space="0" w:color="000000"/>
              <w:bottom w:val="single" w:sz="4" w:space="0" w:color="000000"/>
              <w:right w:val="single" w:sz="4" w:space="0" w:color="000000"/>
            </w:tcBorders>
            <w:hideMark/>
          </w:tcPr>
          <w:p w14:paraId="181F991B" w14:textId="77777777" w:rsidR="00C959D0" w:rsidRPr="006D2071" w:rsidRDefault="00C959D0" w:rsidP="00961943">
            <w:pPr>
              <w:rPr>
                <w:rFonts w:cstheme="minorHAnsi"/>
                <w:sz w:val="24"/>
                <w:szCs w:val="24"/>
              </w:rPr>
            </w:pPr>
            <w:r w:rsidRPr="006D2071">
              <w:rPr>
                <w:rFonts w:cstheme="minorHAnsi"/>
                <w:sz w:val="24"/>
                <w:szCs w:val="24"/>
              </w:rPr>
              <w:t xml:space="preserve"> 1 Year</w:t>
            </w:r>
          </w:p>
        </w:tc>
        <w:tc>
          <w:tcPr>
            <w:tcW w:w="3006" w:type="dxa"/>
            <w:vMerge w:val="restart"/>
            <w:tcBorders>
              <w:top w:val="single" w:sz="4" w:space="0" w:color="000000"/>
              <w:left w:val="single" w:sz="4" w:space="0" w:color="000000"/>
              <w:bottom w:val="single" w:sz="4" w:space="0" w:color="000000"/>
              <w:right w:val="single" w:sz="4" w:space="0" w:color="000000"/>
            </w:tcBorders>
          </w:tcPr>
          <w:p w14:paraId="0F416239" w14:textId="77777777" w:rsidR="00C959D0" w:rsidRPr="006D2071" w:rsidRDefault="00C959D0" w:rsidP="00961943">
            <w:pPr>
              <w:rPr>
                <w:rFonts w:cstheme="minorHAnsi"/>
                <w:sz w:val="24"/>
                <w:szCs w:val="24"/>
              </w:rPr>
            </w:pPr>
          </w:p>
          <w:p w14:paraId="5A61EE23" w14:textId="77777777" w:rsidR="00C959D0" w:rsidRPr="006D2071" w:rsidRDefault="00C959D0" w:rsidP="00961943">
            <w:pPr>
              <w:rPr>
                <w:rFonts w:cstheme="minorHAnsi"/>
                <w:sz w:val="24"/>
                <w:szCs w:val="24"/>
              </w:rPr>
            </w:pPr>
          </w:p>
          <w:p w14:paraId="79F98EDA" w14:textId="77777777" w:rsidR="00C959D0" w:rsidRPr="006D2071" w:rsidRDefault="00C959D0" w:rsidP="00961943">
            <w:pPr>
              <w:rPr>
                <w:rFonts w:cstheme="minorHAnsi"/>
                <w:sz w:val="24"/>
                <w:szCs w:val="24"/>
              </w:rPr>
            </w:pPr>
            <w:r w:rsidRPr="006D2071">
              <w:rPr>
                <w:rFonts w:cstheme="minorHAnsi"/>
                <w:sz w:val="24"/>
                <w:szCs w:val="24"/>
              </w:rPr>
              <w:t>High-risk features:</w:t>
            </w:r>
          </w:p>
          <w:p w14:paraId="75EA2EBD" w14:textId="77777777" w:rsidR="00C959D0" w:rsidRPr="006D2071" w:rsidRDefault="00C959D0" w:rsidP="00961943">
            <w:pPr>
              <w:rPr>
                <w:rFonts w:cstheme="minorHAnsi"/>
                <w:sz w:val="24"/>
                <w:szCs w:val="24"/>
              </w:rPr>
            </w:pPr>
            <w:r w:rsidRPr="006D2071">
              <w:rPr>
                <w:rFonts w:cstheme="minorHAnsi"/>
                <w:sz w:val="24"/>
                <w:szCs w:val="24"/>
              </w:rPr>
              <w:t>Poorly differentiated histology, bowel obstruction, tumour perforation</w:t>
            </w:r>
          </w:p>
        </w:tc>
      </w:tr>
      <w:tr w:rsidR="00C959D0" w:rsidRPr="006D2071" w14:paraId="2715A1CD" w14:textId="77777777" w:rsidTr="00961943">
        <w:tc>
          <w:tcPr>
            <w:tcW w:w="3005" w:type="dxa"/>
            <w:tcBorders>
              <w:top w:val="single" w:sz="4" w:space="0" w:color="000000"/>
              <w:left w:val="single" w:sz="4" w:space="0" w:color="000000"/>
              <w:bottom w:val="single" w:sz="4" w:space="0" w:color="000000"/>
              <w:right w:val="single" w:sz="4" w:space="0" w:color="000000"/>
            </w:tcBorders>
            <w:hideMark/>
          </w:tcPr>
          <w:p w14:paraId="63ACF500" w14:textId="77777777" w:rsidR="00C959D0" w:rsidRPr="006D2071" w:rsidRDefault="00C959D0" w:rsidP="00961943">
            <w:pPr>
              <w:rPr>
                <w:rFonts w:cstheme="minorHAnsi"/>
                <w:sz w:val="24"/>
                <w:szCs w:val="24"/>
              </w:rPr>
            </w:pPr>
            <w:r w:rsidRPr="006D2071">
              <w:rPr>
                <w:rFonts w:cstheme="minorHAnsi"/>
                <w:sz w:val="24"/>
                <w:szCs w:val="24"/>
              </w:rPr>
              <w:t>Low Intermediate risk</w:t>
            </w:r>
          </w:p>
          <w:p w14:paraId="7D3FE3C1" w14:textId="77777777" w:rsidR="00C959D0" w:rsidRPr="006D2071" w:rsidRDefault="00C959D0" w:rsidP="00961943">
            <w:pPr>
              <w:rPr>
                <w:rFonts w:cstheme="minorHAnsi"/>
                <w:sz w:val="24"/>
                <w:szCs w:val="24"/>
              </w:rPr>
            </w:pPr>
            <w:r w:rsidRPr="006D2071">
              <w:rPr>
                <w:rFonts w:cstheme="minorHAnsi"/>
                <w:sz w:val="24"/>
                <w:szCs w:val="24"/>
              </w:rPr>
              <w:t>Stage II (T3, N0, M0)</w:t>
            </w:r>
          </w:p>
        </w:tc>
        <w:tc>
          <w:tcPr>
            <w:tcW w:w="3005" w:type="dxa"/>
            <w:tcBorders>
              <w:top w:val="single" w:sz="4" w:space="0" w:color="000000"/>
              <w:left w:val="single" w:sz="4" w:space="0" w:color="000000"/>
              <w:bottom w:val="single" w:sz="4" w:space="0" w:color="000000"/>
              <w:right w:val="single" w:sz="4" w:space="0" w:color="000000"/>
            </w:tcBorders>
            <w:hideMark/>
          </w:tcPr>
          <w:p w14:paraId="17114C64" w14:textId="77777777" w:rsidR="00C959D0" w:rsidRPr="006D2071" w:rsidRDefault="00C959D0" w:rsidP="00961943">
            <w:pPr>
              <w:rPr>
                <w:rFonts w:cstheme="minorHAnsi"/>
                <w:sz w:val="24"/>
                <w:szCs w:val="24"/>
              </w:rPr>
            </w:pPr>
            <w:r w:rsidRPr="006D2071">
              <w:rPr>
                <w:rFonts w:cstheme="minorHAnsi"/>
                <w:sz w:val="24"/>
                <w:szCs w:val="24"/>
              </w:rPr>
              <w:t>2 Years, longer if high-risk features present</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0DAC53C0" w14:textId="77777777" w:rsidR="00C959D0" w:rsidRPr="006D2071" w:rsidRDefault="00C959D0" w:rsidP="00961943">
            <w:pPr>
              <w:spacing w:after="0"/>
              <w:rPr>
                <w:rFonts w:cstheme="minorHAnsi"/>
                <w:sz w:val="24"/>
                <w:szCs w:val="24"/>
              </w:rPr>
            </w:pPr>
          </w:p>
        </w:tc>
      </w:tr>
      <w:tr w:rsidR="00C959D0" w:rsidRPr="006D2071" w14:paraId="1DF49128" w14:textId="77777777" w:rsidTr="00961943">
        <w:tc>
          <w:tcPr>
            <w:tcW w:w="3005" w:type="dxa"/>
            <w:tcBorders>
              <w:top w:val="single" w:sz="4" w:space="0" w:color="000000"/>
              <w:left w:val="single" w:sz="4" w:space="0" w:color="000000"/>
              <w:bottom w:val="single" w:sz="4" w:space="0" w:color="000000"/>
              <w:right w:val="single" w:sz="4" w:space="0" w:color="000000"/>
            </w:tcBorders>
            <w:hideMark/>
          </w:tcPr>
          <w:p w14:paraId="03ED0008" w14:textId="77777777" w:rsidR="00C959D0" w:rsidRPr="006D2071" w:rsidRDefault="00C959D0" w:rsidP="00961943">
            <w:pPr>
              <w:rPr>
                <w:rFonts w:cstheme="minorHAnsi"/>
                <w:sz w:val="24"/>
                <w:szCs w:val="24"/>
              </w:rPr>
            </w:pPr>
            <w:r w:rsidRPr="006D2071">
              <w:rPr>
                <w:rFonts w:cstheme="minorHAnsi"/>
                <w:sz w:val="24"/>
                <w:szCs w:val="24"/>
              </w:rPr>
              <w:t>High Intermediate risk</w:t>
            </w:r>
          </w:p>
          <w:p w14:paraId="3626DC1E" w14:textId="77777777" w:rsidR="00C959D0" w:rsidRPr="006D2071" w:rsidRDefault="00C959D0" w:rsidP="00961943">
            <w:pPr>
              <w:rPr>
                <w:rFonts w:cstheme="minorHAnsi"/>
                <w:sz w:val="24"/>
                <w:szCs w:val="24"/>
              </w:rPr>
            </w:pPr>
            <w:r w:rsidRPr="006D2071">
              <w:rPr>
                <w:rFonts w:cstheme="minorHAnsi"/>
                <w:sz w:val="24"/>
                <w:szCs w:val="24"/>
              </w:rPr>
              <w:t>Stage II (T4, N0, M0)</w:t>
            </w:r>
          </w:p>
          <w:p w14:paraId="0BD740FF" w14:textId="77777777" w:rsidR="00C959D0" w:rsidRPr="006D2071" w:rsidRDefault="00C959D0" w:rsidP="00961943">
            <w:pPr>
              <w:rPr>
                <w:rFonts w:cstheme="minorHAnsi"/>
                <w:sz w:val="24"/>
                <w:szCs w:val="24"/>
              </w:rPr>
            </w:pPr>
            <w:r w:rsidRPr="006D2071">
              <w:rPr>
                <w:rFonts w:cstheme="minorHAnsi"/>
                <w:sz w:val="24"/>
                <w:szCs w:val="24"/>
              </w:rPr>
              <w:t>Stage III (Any T, N+, M0)</w:t>
            </w:r>
          </w:p>
        </w:tc>
        <w:tc>
          <w:tcPr>
            <w:tcW w:w="3005" w:type="dxa"/>
            <w:tcBorders>
              <w:top w:val="single" w:sz="4" w:space="0" w:color="000000"/>
              <w:left w:val="single" w:sz="4" w:space="0" w:color="000000"/>
              <w:bottom w:val="single" w:sz="4" w:space="0" w:color="000000"/>
              <w:right w:val="single" w:sz="4" w:space="0" w:color="000000"/>
            </w:tcBorders>
            <w:hideMark/>
          </w:tcPr>
          <w:p w14:paraId="5BE51ECC" w14:textId="77777777" w:rsidR="00C959D0" w:rsidRPr="006D2071" w:rsidRDefault="00C959D0" w:rsidP="00961943">
            <w:pPr>
              <w:rPr>
                <w:rFonts w:cstheme="minorHAnsi"/>
                <w:sz w:val="24"/>
                <w:szCs w:val="24"/>
              </w:rPr>
            </w:pPr>
            <w:r w:rsidRPr="006D2071">
              <w:rPr>
                <w:rFonts w:cstheme="minorHAnsi"/>
                <w:sz w:val="24"/>
                <w:szCs w:val="24"/>
              </w:rPr>
              <w:t>3 years, 5 years if high-risk features present</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7FDB5FBB" w14:textId="77777777" w:rsidR="00C959D0" w:rsidRPr="006D2071" w:rsidRDefault="00C959D0" w:rsidP="00961943">
            <w:pPr>
              <w:spacing w:after="0"/>
              <w:rPr>
                <w:rFonts w:cstheme="minorHAnsi"/>
                <w:sz w:val="24"/>
                <w:szCs w:val="24"/>
              </w:rPr>
            </w:pPr>
          </w:p>
        </w:tc>
      </w:tr>
      <w:tr w:rsidR="00C959D0" w:rsidRPr="006D2071" w14:paraId="4AD4518F" w14:textId="77777777" w:rsidTr="00961943">
        <w:tc>
          <w:tcPr>
            <w:tcW w:w="3005" w:type="dxa"/>
            <w:tcBorders>
              <w:top w:val="single" w:sz="4" w:space="0" w:color="000000"/>
              <w:left w:val="single" w:sz="4" w:space="0" w:color="000000"/>
              <w:bottom w:val="single" w:sz="4" w:space="0" w:color="000000"/>
              <w:right w:val="single" w:sz="4" w:space="0" w:color="000000"/>
            </w:tcBorders>
            <w:hideMark/>
          </w:tcPr>
          <w:p w14:paraId="4A7167B3" w14:textId="77777777" w:rsidR="00C959D0" w:rsidRPr="006D2071" w:rsidRDefault="00C959D0" w:rsidP="00961943">
            <w:pPr>
              <w:rPr>
                <w:rFonts w:cstheme="minorHAnsi"/>
                <w:sz w:val="24"/>
                <w:szCs w:val="24"/>
              </w:rPr>
            </w:pPr>
            <w:r w:rsidRPr="006D2071">
              <w:rPr>
                <w:rFonts w:cstheme="minorHAnsi"/>
                <w:sz w:val="24"/>
                <w:szCs w:val="24"/>
              </w:rPr>
              <w:lastRenderedPageBreak/>
              <w:t>High risk</w:t>
            </w:r>
          </w:p>
          <w:p w14:paraId="7BA41265" w14:textId="77777777" w:rsidR="00C959D0" w:rsidRPr="006D2071" w:rsidRDefault="00C959D0" w:rsidP="00961943">
            <w:pPr>
              <w:rPr>
                <w:rFonts w:cstheme="minorHAnsi"/>
                <w:sz w:val="24"/>
                <w:szCs w:val="24"/>
              </w:rPr>
            </w:pPr>
            <w:r w:rsidRPr="006D2071">
              <w:rPr>
                <w:rFonts w:cstheme="minorHAnsi"/>
                <w:sz w:val="24"/>
                <w:szCs w:val="24"/>
              </w:rPr>
              <w:t>Stage IV</w:t>
            </w:r>
          </w:p>
          <w:p w14:paraId="60629AC2" w14:textId="77777777" w:rsidR="00C959D0" w:rsidRPr="006D2071" w:rsidRDefault="00C959D0" w:rsidP="00961943">
            <w:pPr>
              <w:rPr>
                <w:rFonts w:cstheme="minorHAnsi"/>
                <w:sz w:val="24"/>
                <w:szCs w:val="24"/>
              </w:rPr>
            </w:pPr>
            <w:r w:rsidRPr="006D2071">
              <w:rPr>
                <w:rFonts w:cstheme="minorHAnsi"/>
                <w:sz w:val="24"/>
                <w:szCs w:val="24"/>
              </w:rPr>
              <w:t>(Any T, Any N, M+)</w:t>
            </w:r>
          </w:p>
        </w:tc>
        <w:tc>
          <w:tcPr>
            <w:tcW w:w="3005" w:type="dxa"/>
            <w:tcBorders>
              <w:top w:val="single" w:sz="4" w:space="0" w:color="000000"/>
              <w:left w:val="single" w:sz="4" w:space="0" w:color="000000"/>
              <w:bottom w:val="single" w:sz="4" w:space="0" w:color="000000"/>
              <w:right w:val="single" w:sz="4" w:space="0" w:color="000000"/>
            </w:tcBorders>
            <w:hideMark/>
          </w:tcPr>
          <w:p w14:paraId="41D7FE3C" w14:textId="77777777" w:rsidR="00C959D0" w:rsidRPr="006D2071" w:rsidRDefault="00C959D0" w:rsidP="00961943">
            <w:pPr>
              <w:rPr>
                <w:rFonts w:cstheme="minorHAnsi"/>
                <w:sz w:val="24"/>
                <w:szCs w:val="24"/>
              </w:rPr>
            </w:pPr>
            <w:r w:rsidRPr="006D2071">
              <w:rPr>
                <w:rFonts w:cstheme="minorHAnsi"/>
                <w:sz w:val="24"/>
                <w:szCs w:val="24"/>
              </w:rPr>
              <w:t>5 years</w:t>
            </w:r>
          </w:p>
          <w:p w14:paraId="16412402" w14:textId="77777777" w:rsidR="00C959D0" w:rsidRPr="006D2071" w:rsidRDefault="00C959D0" w:rsidP="00961943">
            <w:pPr>
              <w:rPr>
                <w:rFonts w:cstheme="minorHAnsi"/>
                <w:sz w:val="24"/>
                <w:szCs w:val="24"/>
              </w:rPr>
            </w:pPr>
            <w:r w:rsidRPr="006D2071">
              <w:rPr>
                <w:rFonts w:cstheme="minorHAnsi"/>
                <w:sz w:val="24"/>
                <w:szCs w:val="24"/>
              </w:rPr>
              <w:t xml:space="preserve">In patients with residual disease/metastasis, transplantation </w:t>
            </w:r>
            <w:r>
              <w:rPr>
                <w:rFonts w:cstheme="minorHAnsi"/>
                <w:sz w:val="24"/>
                <w:szCs w:val="24"/>
              </w:rPr>
              <w:t xml:space="preserve">is </w:t>
            </w:r>
            <w:r w:rsidRPr="006D2071">
              <w:rPr>
                <w:rFonts w:cstheme="minorHAnsi"/>
                <w:sz w:val="24"/>
                <w:szCs w:val="24"/>
              </w:rPr>
              <w:t>not recommended</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5C0F1CE5" w14:textId="77777777" w:rsidR="00C959D0" w:rsidRPr="006D2071" w:rsidRDefault="00C959D0" w:rsidP="00961943">
            <w:pPr>
              <w:spacing w:after="0"/>
              <w:rPr>
                <w:rFonts w:cstheme="minorHAnsi"/>
                <w:sz w:val="24"/>
                <w:szCs w:val="24"/>
              </w:rPr>
            </w:pPr>
          </w:p>
        </w:tc>
      </w:tr>
    </w:tbl>
    <w:p w14:paraId="4E49C905" w14:textId="77777777" w:rsidR="00C959D0" w:rsidRPr="006D2071" w:rsidRDefault="00C959D0" w:rsidP="00C959D0">
      <w:pPr>
        <w:rPr>
          <w:rFonts w:cstheme="minorHAnsi"/>
          <w:b/>
          <w:color w:val="000000"/>
          <w:sz w:val="24"/>
          <w:szCs w:val="24"/>
          <w:highlight w:val="white"/>
        </w:rPr>
      </w:pPr>
    </w:p>
    <w:p w14:paraId="7FB19822" w14:textId="77777777" w:rsidR="00C959D0" w:rsidRPr="005C1915" w:rsidRDefault="00C959D0" w:rsidP="00C959D0">
      <w:pPr>
        <w:rPr>
          <w:rFonts w:cstheme="minorHAnsi"/>
          <w:b/>
          <w:color w:val="002060"/>
          <w:sz w:val="24"/>
          <w:szCs w:val="24"/>
          <w:highlight w:val="white"/>
        </w:rPr>
      </w:pPr>
      <w:r w:rsidRPr="005C1915">
        <w:rPr>
          <w:rFonts w:cstheme="minorHAnsi"/>
          <w:b/>
          <w:color w:val="002060"/>
          <w:sz w:val="24"/>
          <w:szCs w:val="24"/>
          <w:highlight w:val="white"/>
        </w:rPr>
        <w:t>Rectal cancer</w:t>
      </w:r>
    </w:p>
    <w:tbl>
      <w:tblPr>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4"/>
        <w:gridCol w:w="3005"/>
        <w:gridCol w:w="3006"/>
      </w:tblGrid>
      <w:tr w:rsidR="00C959D0" w:rsidRPr="006D2071" w14:paraId="6DC9A6A4" w14:textId="77777777" w:rsidTr="00961943">
        <w:tc>
          <w:tcPr>
            <w:tcW w:w="3005" w:type="dxa"/>
            <w:tcBorders>
              <w:top w:val="single" w:sz="4" w:space="0" w:color="000000"/>
              <w:left w:val="single" w:sz="4" w:space="0" w:color="000000"/>
              <w:bottom w:val="single" w:sz="4" w:space="0" w:color="000000"/>
              <w:right w:val="single" w:sz="4" w:space="0" w:color="000000"/>
            </w:tcBorders>
            <w:hideMark/>
          </w:tcPr>
          <w:p w14:paraId="5B264FF4" w14:textId="77777777" w:rsidR="00C959D0" w:rsidRPr="006D2071" w:rsidRDefault="00C959D0" w:rsidP="00961943">
            <w:pPr>
              <w:rPr>
                <w:rFonts w:cstheme="minorHAnsi"/>
                <w:b/>
                <w:color w:val="000000"/>
                <w:sz w:val="24"/>
                <w:szCs w:val="24"/>
                <w:highlight w:val="white"/>
              </w:rPr>
            </w:pPr>
            <w:r w:rsidRPr="006D2071">
              <w:rPr>
                <w:rFonts w:cstheme="minorHAnsi"/>
                <w:b/>
                <w:sz w:val="24"/>
                <w:szCs w:val="24"/>
              </w:rPr>
              <w:t>Risk/Stage</w:t>
            </w:r>
          </w:p>
        </w:tc>
        <w:tc>
          <w:tcPr>
            <w:tcW w:w="3005" w:type="dxa"/>
            <w:tcBorders>
              <w:top w:val="single" w:sz="4" w:space="0" w:color="000000"/>
              <w:left w:val="single" w:sz="4" w:space="0" w:color="000000"/>
              <w:bottom w:val="single" w:sz="4" w:space="0" w:color="000000"/>
              <w:right w:val="single" w:sz="4" w:space="0" w:color="000000"/>
            </w:tcBorders>
            <w:hideMark/>
          </w:tcPr>
          <w:p w14:paraId="67D62A5D" w14:textId="77777777" w:rsidR="00C959D0" w:rsidRPr="006D2071" w:rsidRDefault="00C959D0" w:rsidP="00961943">
            <w:pPr>
              <w:rPr>
                <w:rFonts w:cstheme="minorHAnsi"/>
                <w:b/>
                <w:color w:val="000000"/>
                <w:sz w:val="24"/>
                <w:szCs w:val="24"/>
                <w:highlight w:val="white"/>
              </w:rPr>
            </w:pPr>
            <w:r w:rsidRPr="006D2071">
              <w:rPr>
                <w:rFonts w:cstheme="minorHAnsi"/>
                <w:b/>
                <w:sz w:val="24"/>
                <w:szCs w:val="24"/>
              </w:rPr>
              <w:t>Recommended time interval to transplant</w:t>
            </w:r>
          </w:p>
        </w:tc>
        <w:tc>
          <w:tcPr>
            <w:tcW w:w="3006" w:type="dxa"/>
            <w:tcBorders>
              <w:top w:val="single" w:sz="4" w:space="0" w:color="000000"/>
              <w:left w:val="single" w:sz="4" w:space="0" w:color="000000"/>
              <w:bottom w:val="single" w:sz="4" w:space="0" w:color="000000"/>
              <w:right w:val="single" w:sz="4" w:space="0" w:color="000000"/>
            </w:tcBorders>
            <w:hideMark/>
          </w:tcPr>
          <w:p w14:paraId="1E24331D" w14:textId="77777777" w:rsidR="00C959D0" w:rsidRPr="006D2071" w:rsidRDefault="00C959D0" w:rsidP="00961943">
            <w:pPr>
              <w:rPr>
                <w:rFonts w:cstheme="minorHAnsi"/>
                <w:b/>
                <w:color w:val="000000"/>
                <w:sz w:val="24"/>
                <w:szCs w:val="24"/>
                <w:highlight w:val="white"/>
              </w:rPr>
            </w:pPr>
            <w:r w:rsidRPr="006D2071">
              <w:rPr>
                <w:rFonts w:cstheme="minorHAnsi"/>
                <w:b/>
                <w:sz w:val="24"/>
                <w:szCs w:val="24"/>
              </w:rPr>
              <w:t>Additional considerations</w:t>
            </w:r>
          </w:p>
        </w:tc>
      </w:tr>
      <w:tr w:rsidR="00C959D0" w:rsidRPr="006D2071" w14:paraId="3EEB0608" w14:textId="77777777" w:rsidTr="00961943">
        <w:tc>
          <w:tcPr>
            <w:tcW w:w="3005" w:type="dxa"/>
            <w:tcBorders>
              <w:top w:val="single" w:sz="4" w:space="0" w:color="000000"/>
              <w:left w:val="single" w:sz="4" w:space="0" w:color="000000"/>
              <w:bottom w:val="single" w:sz="4" w:space="0" w:color="000000"/>
              <w:right w:val="single" w:sz="4" w:space="0" w:color="000000"/>
            </w:tcBorders>
            <w:hideMark/>
          </w:tcPr>
          <w:p w14:paraId="6C0AC9E0" w14:textId="77777777" w:rsidR="00C959D0" w:rsidRPr="006D2071" w:rsidRDefault="00C959D0" w:rsidP="00961943">
            <w:pPr>
              <w:rPr>
                <w:rFonts w:cstheme="minorHAnsi"/>
                <w:color w:val="000000"/>
                <w:sz w:val="24"/>
                <w:szCs w:val="24"/>
                <w:highlight w:val="white"/>
              </w:rPr>
            </w:pPr>
            <w:r w:rsidRPr="006D2071">
              <w:rPr>
                <w:rFonts w:cstheme="minorHAnsi"/>
                <w:color w:val="000000"/>
                <w:sz w:val="24"/>
                <w:szCs w:val="24"/>
                <w:highlight w:val="white"/>
              </w:rPr>
              <w:t>Low risk</w:t>
            </w:r>
          </w:p>
          <w:p w14:paraId="74EF9095" w14:textId="77777777" w:rsidR="00C959D0" w:rsidRPr="006D2071" w:rsidRDefault="00C959D0" w:rsidP="00961943">
            <w:pPr>
              <w:rPr>
                <w:rFonts w:cstheme="minorHAnsi"/>
                <w:color w:val="000000"/>
                <w:sz w:val="24"/>
                <w:szCs w:val="24"/>
                <w:highlight w:val="white"/>
              </w:rPr>
            </w:pPr>
            <w:r w:rsidRPr="006D2071">
              <w:rPr>
                <w:rFonts w:cstheme="minorHAnsi"/>
                <w:color w:val="000000"/>
                <w:sz w:val="24"/>
                <w:szCs w:val="24"/>
                <w:highlight w:val="white"/>
              </w:rPr>
              <w:t>Stage I (T1 or T2, N0, M0)</w:t>
            </w:r>
          </w:p>
        </w:tc>
        <w:tc>
          <w:tcPr>
            <w:tcW w:w="3005" w:type="dxa"/>
            <w:tcBorders>
              <w:top w:val="single" w:sz="4" w:space="0" w:color="000000"/>
              <w:left w:val="single" w:sz="4" w:space="0" w:color="000000"/>
              <w:bottom w:val="single" w:sz="4" w:space="0" w:color="000000"/>
              <w:right w:val="single" w:sz="4" w:space="0" w:color="000000"/>
            </w:tcBorders>
            <w:hideMark/>
          </w:tcPr>
          <w:p w14:paraId="258A87DC" w14:textId="77777777" w:rsidR="00C959D0" w:rsidRPr="006D2071" w:rsidRDefault="00C959D0" w:rsidP="00961943">
            <w:pPr>
              <w:rPr>
                <w:rFonts w:cstheme="minorHAnsi"/>
                <w:color w:val="000000"/>
                <w:sz w:val="24"/>
                <w:szCs w:val="24"/>
                <w:highlight w:val="white"/>
              </w:rPr>
            </w:pPr>
            <w:r w:rsidRPr="006D2071">
              <w:rPr>
                <w:rFonts w:cstheme="minorHAnsi"/>
                <w:color w:val="000000"/>
                <w:sz w:val="24"/>
                <w:szCs w:val="24"/>
                <w:highlight w:val="white"/>
              </w:rPr>
              <w:t>1 year, consider 2 years if high risk features are present</w:t>
            </w:r>
          </w:p>
        </w:tc>
        <w:tc>
          <w:tcPr>
            <w:tcW w:w="3006" w:type="dxa"/>
            <w:vMerge w:val="restart"/>
            <w:tcBorders>
              <w:top w:val="single" w:sz="4" w:space="0" w:color="000000"/>
              <w:left w:val="single" w:sz="4" w:space="0" w:color="000000"/>
              <w:bottom w:val="single" w:sz="4" w:space="0" w:color="000000"/>
              <w:right w:val="single" w:sz="4" w:space="0" w:color="000000"/>
            </w:tcBorders>
            <w:hideMark/>
          </w:tcPr>
          <w:p w14:paraId="4E8AD3C5" w14:textId="77777777" w:rsidR="00C959D0" w:rsidRPr="006D2071" w:rsidRDefault="00C959D0" w:rsidP="00961943">
            <w:pPr>
              <w:rPr>
                <w:rFonts w:cstheme="minorHAnsi"/>
                <w:color w:val="000000"/>
                <w:sz w:val="24"/>
                <w:szCs w:val="24"/>
                <w:highlight w:val="white"/>
              </w:rPr>
            </w:pPr>
            <w:r w:rsidRPr="006D2071">
              <w:rPr>
                <w:rFonts w:cstheme="minorHAnsi"/>
                <w:sz w:val="24"/>
                <w:szCs w:val="24"/>
              </w:rPr>
              <w:t>Poorly differentiated histology, bowel obstruction, tumour perforation, lower 1/3</w:t>
            </w:r>
            <w:r w:rsidRPr="006D2071">
              <w:rPr>
                <w:rFonts w:cstheme="minorHAnsi"/>
                <w:sz w:val="24"/>
                <w:szCs w:val="24"/>
                <w:vertAlign w:val="superscript"/>
              </w:rPr>
              <w:t>rd</w:t>
            </w:r>
            <w:r w:rsidRPr="006D2071">
              <w:rPr>
                <w:rFonts w:cstheme="minorHAnsi"/>
                <w:sz w:val="24"/>
                <w:szCs w:val="24"/>
              </w:rPr>
              <w:t xml:space="preserve"> of rectum</w:t>
            </w:r>
          </w:p>
        </w:tc>
      </w:tr>
      <w:tr w:rsidR="00C959D0" w:rsidRPr="006D2071" w14:paraId="129B67A2" w14:textId="77777777" w:rsidTr="00961943">
        <w:tc>
          <w:tcPr>
            <w:tcW w:w="3005" w:type="dxa"/>
            <w:tcBorders>
              <w:top w:val="single" w:sz="4" w:space="0" w:color="000000"/>
              <w:left w:val="single" w:sz="4" w:space="0" w:color="000000"/>
              <w:bottom w:val="single" w:sz="4" w:space="0" w:color="000000"/>
              <w:right w:val="single" w:sz="4" w:space="0" w:color="000000"/>
            </w:tcBorders>
            <w:hideMark/>
          </w:tcPr>
          <w:p w14:paraId="59533619" w14:textId="77777777" w:rsidR="00C959D0" w:rsidRPr="006D2071" w:rsidRDefault="00C959D0" w:rsidP="00961943">
            <w:pPr>
              <w:rPr>
                <w:rFonts w:cstheme="minorHAnsi"/>
                <w:color w:val="000000"/>
                <w:sz w:val="24"/>
                <w:szCs w:val="24"/>
                <w:highlight w:val="white"/>
              </w:rPr>
            </w:pPr>
            <w:r w:rsidRPr="006D2071">
              <w:rPr>
                <w:rFonts w:cstheme="minorHAnsi"/>
                <w:color w:val="000000"/>
                <w:sz w:val="24"/>
                <w:szCs w:val="24"/>
                <w:highlight w:val="white"/>
              </w:rPr>
              <w:t>High intermediate risk</w:t>
            </w:r>
          </w:p>
          <w:p w14:paraId="684F4B13" w14:textId="77777777" w:rsidR="00C959D0" w:rsidRPr="006D2071" w:rsidRDefault="00C959D0" w:rsidP="00961943">
            <w:pPr>
              <w:rPr>
                <w:rFonts w:cstheme="minorHAnsi"/>
                <w:color w:val="000000"/>
                <w:sz w:val="24"/>
                <w:szCs w:val="24"/>
                <w:highlight w:val="white"/>
              </w:rPr>
            </w:pPr>
            <w:r w:rsidRPr="006D2071">
              <w:rPr>
                <w:rFonts w:cstheme="minorHAnsi"/>
                <w:color w:val="000000"/>
                <w:sz w:val="24"/>
                <w:szCs w:val="24"/>
                <w:highlight w:val="white"/>
              </w:rPr>
              <w:t>Stage II (T3, T4, N0, M0)</w:t>
            </w:r>
          </w:p>
          <w:p w14:paraId="45000A9E" w14:textId="77777777" w:rsidR="00C959D0" w:rsidRPr="006D2071" w:rsidRDefault="00C959D0" w:rsidP="00961943">
            <w:pPr>
              <w:rPr>
                <w:rFonts w:cstheme="minorHAnsi"/>
                <w:color w:val="000000"/>
                <w:sz w:val="24"/>
                <w:szCs w:val="24"/>
                <w:highlight w:val="white"/>
              </w:rPr>
            </w:pPr>
            <w:r w:rsidRPr="006D2071">
              <w:rPr>
                <w:rFonts w:cstheme="minorHAnsi"/>
                <w:color w:val="000000"/>
                <w:sz w:val="24"/>
                <w:szCs w:val="24"/>
                <w:highlight w:val="white"/>
              </w:rPr>
              <w:t>Stage III (Any T, N+, M0)</w:t>
            </w:r>
          </w:p>
        </w:tc>
        <w:tc>
          <w:tcPr>
            <w:tcW w:w="3005" w:type="dxa"/>
            <w:tcBorders>
              <w:top w:val="single" w:sz="4" w:space="0" w:color="000000"/>
              <w:left w:val="single" w:sz="4" w:space="0" w:color="000000"/>
              <w:bottom w:val="single" w:sz="4" w:space="0" w:color="000000"/>
              <w:right w:val="single" w:sz="4" w:space="0" w:color="000000"/>
            </w:tcBorders>
            <w:hideMark/>
          </w:tcPr>
          <w:p w14:paraId="2DA42CC3" w14:textId="77777777" w:rsidR="00C959D0" w:rsidRPr="006D2071" w:rsidRDefault="00C959D0" w:rsidP="00961943">
            <w:pPr>
              <w:rPr>
                <w:rFonts w:cstheme="minorHAnsi"/>
                <w:color w:val="000000"/>
                <w:sz w:val="24"/>
                <w:szCs w:val="24"/>
                <w:highlight w:val="white"/>
              </w:rPr>
            </w:pPr>
            <w:r w:rsidRPr="006D2071">
              <w:rPr>
                <w:rFonts w:cstheme="minorHAnsi"/>
                <w:color w:val="000000"/>
                <w:sz w:val="24"/>
                <w:szCs w:val="24"/>
                <w:highlight w:val="white"/>
              </w:rPr>
              <w:t>3 years, 5 years if high-risk features are present</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0E55F4C2" w14:textId="77777777" w:rsidR="00C959D0" w:rsidRPr="006D2071" w:rsidRDefault="00C959D0" w:rsidP="00961943">
            <w:pPr>
              <w:spacing w:after="0"/>
              <w:rPr>
                <w:rFonts w:cstheme="minorHAnsi"/>
                <w:color w:val="000000"/>
                <w:sz w:val="24"/>
                <w:szCs w:val="24"/>
                <w:highlight w:val="white"/>
              </w:rPr>
            </w:pPr>
          </w:p>
        </w:tc>
      </w:tr>
      <w:tr w:rsidR="00C959D0" w:rsidRPr="006D2071" w14:paraId="490EF5BA" w14:textId="77777777" w:rsidTr="00961943">
        <w:tc>
          <w:tcPr>
            <w:tcW w:w="3005" w:type="dxa"/>
            <w:tcBorders>
              <w:top w:val="single" w:sz="4" w:space="0" w:color="000000"/>
              <w:left w:val="single" w:sz="4" w:space="0" w:color="000000"/>
              <w:bottom w:val="single" w:sz="4" w:space="0" w:color="000000"/>
              <w:right w:val="single" w:sz="4" w:space="0" w:color="000000"/>
            </w:tcBorders>
            <w:hideMark/>
          </w:tcPr>
          <w:p w14:paraId="6EE36B52" w14:textId="77777777" w:rsidR="00C959D0" w:rsidRPr="006D2071" w:rsidRDefault="00C959D0" w:rsidP="00961943">
            <w:pPr>
              <w:rPr>
                <w:rFonts w:cstheme="minorHAnsi"/>
                <w:color w:val="000000"/>
                <w:sz w:val="24"/>
                <w:szCs w:val="24"/>
                <w:highlight w:val="white"/>
              </w:rPr>
            </w:pPr>
            <w:r w:rsidRPr="006D2071">
              <w:rPr>
                <w:rFonts w:cstheme="minorHAnsi"/>
                <w:color w:val="000000"/>
                <w:sz w:val="24"/>
                <w:szCs w:val="24"/>
                <w:highlight w:val="white"/>
              </w:rPr>
              <w:t>High Risk</w:t>
            </w:r>
          </w:p>
          <w:p w14:paraId="25990ED8" w14:textId="77777777" w:rsidR="00C959D0" w:rsidRPr="006D2071" w:rsidRDefault="00C959D0" w:rsidP="00961943">
            <w:pPr>
              <w:rPr>
                <w:rFonts w:cstheme="minorHAnsi"/>
                <w:color w:val="000000"/>
                <w:sz w:val="24"/>
                <w:szCs w:val="24"/>
                <w:highlight w:val="white"/>
              </w:rPr>
            </w:pPr>
            <w:r w:rsidRPr="006D2071">
              <w:rPr>
                <w:rFonts w:cstheme="minorHAnsi"/>
                <w:color w:val="000000"/>
                <w:sz w:val="24"/>
                <w:szCs w:val="24"/>
                <w:highlight w:val="white"/>
              </w:rPr>
              <w:t>Stage IV (Any T, Any N, M+)</w:t>
            </w:r>
          </w:p>
        </w:tc>
        <w:tc>
          <w:tcPr>
            <w:tcW w:w="3005" w:type="dxa"/>
            <w:tcBorders>
              <w:top w:val="single" w:sz="4" w:space="0" w:color="000000"/>
              <w:left w:val="single" w:sz="4" w:space="0" w:color="000000"/>
              <w:bottom w:val="single" w:sz="4" w:space="0" w:color="000000"/>
              <w:right w:val="single" w:sz="4" w:space="0" w:color="000000"/>
            </w:tcBorders>
            <w:hideMark/>
          </w:tcPr>
          <w:p w14:paraId="7BDB373A" w14:textId="77777777" w:rsidR="00C959D0" w:rsidRPr="006D2071" w:rsidRDefault="00C959D0" w:rsidP="00961943">
            <w:pPr>
              <w:rPr>
                <w:rFonts w:cstheme="minorHAnsi"/>
                <w:color w:val="000000"/>
                <w:sz w:val="24"/>
                <w:szCs w:val="24"/>
                <w:highlight w:val="white"/>
              </w:rPr>
            </w:pPr>
            <w:r w:rsidRPr="006D2071">
              <w:rPr>
                <w:rFonts w:cstheme="minorHAnsi"/>
                <w:color w:val="000000"/>
                <w:sz w:val="24"/>
                <w:szCs w:val="24"/>
                <w:highlight w:val="white"/>
              </w:rPr>
              <w:t xml:space="preserve">5 years. </w:t>
            </w:r>
            <w:r w:rsidRPr="006D2071">
              <w:rPr>
                <w:rFonts w:cstheme="minorHAnsi"/>
                <w:sz w:val="24"/>
                <w:szCs w:val="24"/>
              </w:rPr>
              <w:t>In patients with residual disease/metastasis, transplantation is not recommended</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23E2A635" w14:textId="77777777" w:rsidR="00C959D0" w:rsidRPr="006D2071" w:rsidRDefault="00C959D0" w:rsidP="00961943">
            <w:pPr>
              <w:spacing w:after="0"/>
              <w:rPr>
                <w:rFonts w:cstheme="minorHAnsi"/>
                <w:color w:val="000000"/>
                <w:sz w:val="24"/>
                <w:szCs w:val="24"/>
                <w:highlight w:val="white"/>
              </w:rPr>
            </w:pPr>
          </w:p>
        </w:tc>
      </w:tr>
    </w:tbl>
    <w:p w14:paraId="5DF5BC6E" w14:textId="77777777" w:rsidR="00C959D0" w:rsidRDefault="00C959D0" w:rsidP="00C959D0">
      <w:pPr>
        <w:rPr>
          <w:rFonts w:cstheme="minorHAnsi"/>
          <w:b/>
          <w:sz w:val="24"/>
          <w:szCs w:val="24"/>
        </w:rPr>
      </w:pPr>
    </w:p>
    <w:p w14:paraId="374ABC53" w14:textId="77777777" w:rsidR="00C959D0" w:rsidRPr="005C1915" w:rsidRDefault="00C959D0" w:rsidP="00C959D0">
      <w:pPr>
        <w:rPr>
          <w:rFonts w:cstheme="minorHAnsi"/>
          <w:b/>
          <w:color w:val="002060"/>
          <w:sz w:val="24"/>
          <w:szCs w:val="24"/>
        </w:rPr>
      </w:pPr>
      <w:r w:rsidRPr="005C1915">
        <w:rPr>
          <w:rFonts w:cstheme="minorHAnsi"/>
          <w:b/>
          <w:color w:val="002060"/>
          <w:sz w:val="24"/>
          <w:szCs w:val="24"/>
        </w:rPr>
        <w:t>Urological malignancies</w:t>
      </w:r>
    </w:p>
    <w:p w14:paraId="4927995D" w14:textId="77777777" w:rsidR="00C959D0" w:rsidRPr="005C1915" w:rsidRDefault="00C959D0" w:rsidP="00C959D0">
      <w:pPr>
        <w:rPr>
          <w:rFonts w:cstheme="minorHAnsi"/>
          <w:b/>
          <w:color w:val="002060"/>
          <w:sz w:val="24"/>
          <w:szCs w:val="24"/>
        </w:rPr>
      </w:pPr>
      <w:r w:rsidRPr="005C1915">
        <w:rPr>
          <w:rFonts w:cstheme="minorHAnsi"/>
          <w:b/>
          <w:color w:val="002060"/>
          <w:sz w:val="24"/>
          <w:szCs w:val="24"/>
        </w:rPr>
        <w:t>Prostate Cancer</w:t>
      </w: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0"/>
        <w:gridCol w:w="3020"/>
        <w:gridCol w:w="3020"/>
      </w:tblGrid>
      <w:tr w:rsidR="00C959D0" w:rsidRPr="006D2071" w14:paraId="0004D0AD" w14:textId="77777777" w:rsidTr="00961943">
        <w:trPr>
          <w:trHeight w:val="640"/>
        </w:trPr>
        <w:tc>
          <w:tcPr>
            <w:tcW w:w="3020" w:type="dxa"/>
            <w:tcBorders>
              <w:top w:val="single" w:sz="4" w:space="0" w:color="000000"/>
              <w:left w:val="single" w:sz="4" w:space="0" w:color="000000"/>
              <w:bottom w:val="single" w:sz="4" w:space="0" w:color="000000"/>
              <w:right w:val="single" w:sz="4" w:space="0" w:color="000000"/>
            </w:tcBorders>
            <w:hideMark/>
          </w:tcPr>
          <w:p w14:paraId="0F335D21" w14:textId="77777777" w:rsidR="00C959D0" w:rsidRPr="006D2071" w:rsidRDefault="00C959D0" w:rsidP="00961943">
            <w:pPr>
              <w:rPr>
                <w:rFonts w:cstheme="minorHAnsi"/>
                <w:b/>
                <w:sz w:val="24"/>
                <w:szCs w:val="24"/>
              </w:rPr>
            </w:pPr>
            <w:r w:rsidRPr="006D2071">
              <w:rPr>
                <w:rFonts w:cstheme="minorHAnsi"/>
                <w:b/>
                <w:sz w:val="24"/>
                <w:szCs w:val="24"/>
              </w:rPr>
              <w:t>Risk/Stage</w:t>
            </w:r>
          </w:p>
        </w:tc>
        <w:tc>
          <w:tcPr>
            <w:tcW w:w="3020" w:type="dxa"/>
            <w:tcBorders>
              <w:top w:val="single" w:sz="4" w:space="0" w:color="000000"/>
              <w:left w:val="single" w:sz="4" w:space="0" w:color="000000"/>
              <w:bottom w:val="single" w:sz="4" w:space="0" w:color="000000"/>
              <w:right w:val="single" w:sz="4" w:space="0" w:color="000000"/>
            </w:tcBorders>
            <w:hideMark/>
          </w:tcPr>
          <w:p w14:paraId="40887462" w14:textId="77777777" w:rsidR="00C959D0" w:rsidRPr="006D2071" w:rsidRDefault="00C959D0" w:rsidP="00961943">
            <w:pPr>
              <w:rPr>
                <w:rFonts w:cstheme="minorHAnsi"/>
                <w:b/>
                <w:sz w:val="24"/>
                <w:szCs w:val="24"/>
              </w:rPr>
            </w:pPr>
            <w:r w:rsidRPr="006D2071">
              <w:rPr>
                <w:rFonts w:cstheme="minorHAnsi"/>
                <w:b/>
                <w:sz w:val="24"/>
                <w:szCs w:val="24"/>
              </w:rPr>
              <w:t>Recommended time interval to transplant</w:t>
            </w:r>
          </w:p>
        </w:tc>
        <w:tc>
          <w:tcPr>
            <w:tcW w:w="3020" w:type="dxa"/>
            <w:tcBorders>
              <w:top w:val="single" w:sz="4" w:space="0" w:color="000000"/>
              <w:left w:val="single" w:sz="4" w:space="0" w:color="000000"/>
              <w:bottom w:val="single" w:sz="4" w:space="0" w:color="000000"/>
              <w:right w:val="single" w:sz="4" w:space="0" w:color="000000"/>
            </w:tcBorders>
            <w:hideMark/>
          </w:tcPr>
          <w:p w14:paraId="4DE5B2AF" w14:textId="77777777" w:rsidR="00C959D0" w:rsidRPr="006D2071" w:rsidRDefault="00C959D0" w:rsidP="00961943">
            <w:pPr>
              <w:rPr>
                <w:rFonts w:cstheme="minorHAnsi"/>
                <w:b/>
                <w:sz w:val="24"/>
                <w:szCs w:val="24"/>
              </w:rPr>
            </w:pPr>
            <w:r w:rsidRPr="006D2071">
              <w:rPr>
                <w:rFonts w:cstheme="minorHAnsi"/>
                <w:b/>
                <w:sz w:val="24"/>
                <w:szCs w:val="24"/>
              </w:rPr>
              <w:t>Additional considerations</w:t>
            </w:r>
          </w:p>
        </w:tc>
      </w:tr>
      <w:tr w:rsidR="00C959D0" w:rsidRPr="006D2071" w14:paraId="199EB3E7" w14:textId="77777777" w:rsidTr="00961943">
        <w:trPr>
          <w:trHeight w:val="368"/>
        </w:trPr>
        <w:tc>
          <w:tcPr>
            <w:tcW w:w="3020" w:type="dxa"/>
            <w:tcBorders>
              <w:top w:val="single" w:sz="4" w:space="0" w:color="000000"/>
              <w:left w:val="single" w:sz="4" w:space="0" w:color="000000"/>
              <w:bottom w:val="single" w:sz="4" w:space="0" w:color="000000"/>
              <w:right w:val="single" w:sz="4" w:space="0" w:color="000000"/>
            </w:tcBorders>
            <w:hideMark/>
          </w:tcPr>
          <w:p w14:paraId="53C61BF1" w14:textId="77777777" w:rsidR="00C959D0" w:rsidRPr="006D2071" w:rsidRDefault="00C959D0" w:rsidP="00961943">
            <w:pPr>
              <w:rPr>
                <w:rFonts w:cstheme="minorHAnsi"/>
                <w:sz w:val="24"/>
                <w:szCs w:val="24"/>
              </w:rPr>
            </w:pPr>
            <w:r w:rsidRPr="006D2071">
              <w:rPr>
                <w:rFonts w:cstheme="minorHAnsi"/>
                <w:sz w:val="24"/>
                <w:szCs w:val="24"/>
              </w:rPr>
              <w:t>Very Low Risk and low risk</w:t>
            </w:r>
          </w:p>
          <w:p w14:paraId="722AD500" w14:textId="77777777" w:rsidR="00C959D0" w:rsidRPr="006D2071" w:rsidRDefault="00C959D0" w:rsidP="00961943">
            <w:pPr>
              <w:rPr>
                <w:rFonts w:cstheme="minorHAnsi"/>
                <w:sz w:val="24"/>
                <w:szCs w:val="24"/>
              </w:rPr>
            </w:pPr>
            <w:r w:rsidRPr="006D2071">
              <w:rPr>
                <w:rFonts w:cstheme="minorHAnsi"/>
                <w:sz w:val="24"/>
                <w:szCs w:val="24"/>
              </w:rPr>
              <w:t>-PSA&lt;10ng/mL</w:t>
            </w:r>
          </w:p>
          <w:p w14:paraId="703A50A4" w14:textId="77777777" w:rsidR="00C959D0" w:rsidRPr="006D2071" w:rsidRDefault="00C959D0" w:rsidP="00961943">
            <w:pPr>
              <w:rPr>
                <w:rFonts w:cstheme="minorHAnsi"/>
                <w:sz w:val="24"/>
                <w:szCs w:val="24"/>
              </w:rPr>
            </w:pPr>
            <w:r w:rsidRPr="006D2071">
              <w:rPr>
                <w:rFonts w:cstheme="minorHAnsi"/>
                <w:sz w:val="24"/>
                <w:szCs w:val="24"/>
              </w:rPr>
              <w:t>-3 or fewer cores of Gleason 6 (grade group 1); no greater than 50% of individual core</w:t>
            </w:r>
          </w:p>
          <w:p w14:paraId="0834964C" w14:textId="77777777" w:rsidR="00C959D0" w:rsidRPr="006D2071" w:rsidRDefault="00C959D0" w:rsidP="00961943">
            <w:pPr>
              <w:rPr>
                <w:rFonts w:cstheme="minorHAnsi"/>
                <w:sz w:val="24"/>
                <w:szCs w:val="24"/>
              </w:rPr>
            </w:pPr>
            <w:r w:rsidRPr="006D2071">
              <w:rPr>
                <w:rFonts w:cstheme="minorHAnsi"/>
                <w:sz w:val="24"/>
                <w:szCs w:val="24"/>
              </w:rPr>
              <w:t>-T1c-T2a</w:t>
            </w:r>
          </w:p>
        </w:tc>
        <w:tc>
          <w:tcPr>
            <w:tcW w:w="3020" w:type="dxa"/>
            <w:tcBorders>
              <w:top w:val="single" w:sz="4" w:space="0" w:color="000000"/>
              <w:left w:val="single" w:sz="4" w:space="0" w:color="000000"/>
              <w:bottom w:val="single" w:sz="4" w:space="0" w:color="000000"/>
              <w:right w:val="single" w:sz="4" w:space="0" w:color="000000"/>
            </w:tcBorders>
          </w:tcPr>
          <w:p w14:paraId="647698AE" w14:textId="77777777" w:rsidR="00C959D0" w:rsidRPr="006D2071" w:rsidRDefault="00C959D0" w:rsidP="00961943">
            <w:pPr>
              <w:rPr>
                <w:rFonts w:cstheme="minorHAnsi"/>
                <w:sz w:val="24"/>
                <w:szCs w:val="24"/>
              </w:rPr>
            </w:pPr>
            <w:r w:rsidRPr="006D2071">
              <w:rPr>
                <w:rFonts w:cstheme="minorHAnsi"/>
                <w:sz w:val="24"/>
                <w:szCs w:val="24"/>
              </w:rPr>
              <w:t>None</w:t>
            </w:r>
          </w:p>
        </w:tc>
        <w:tc>
          <w:tcPr>
            <w:tcW w:w="3020" w:type="dxa"/>
            <w:tcBorders>
              <w:top w:val="single" w:sz="4" w:space="0" w:color="000000"/>
              <w:left w:val="single" w:sz="4" w:space="0" w:color="000000"/>
              <w:bottom w:val="single" w:sz="4" w:space="0" w:color="000000"/>
              <w:right w:val="single" w:sz="4" w:space="0" w:color="000000"/>
            </w:tcBorders>
          </w:tcPr>
          <w:p w14:paraId="34CC3875" w14:textId="77777777" w:rsidR="00C959D0" w:rsidRPr="006D2071" w:rsidRDefault="00C959D0" w:rsidP="00961943">
            <w:pPr>
              <w:rPr>
                <w:rFonts w:cstheme="minorHAnsi"/>
                <w:sz w:val="24"/>
                <w:szCs w:val="24"/>
              </w:rPr>
            </w:pPr>
            <w:r w:rsidRPr="006D2071">
              <w:rPr>
                <w:rFonts w:cstheme="minorHAnsi"/>
                <w:sz w:val="24"/>
                <w:szCs w:val="24"/>
              </w:rPr>
              <w:t>Surveillance recommended post-transplant</w:t>
            </w:r>
          </w:p>
        </w:tc>
      </w:tr>
      <w:tr w:rsidR="00C959D0" w:rsidRPr="006D2071" w14:paraId="467B8D23" w14:textId="77777777" w:rsidTr="00961943">
        <w:trPr>
          <w:trHeight w:val="368"/>
        </w:trPr>
        <w:tc>
          <w:tcPr>
            <w:tcW w:w="3020" w:type="dxa"/>
            <w:tcBorders>
              <w:top w:val="single" w:sz="4" w:space="0" w:color="000000"/>
              <w:left w:val="single" w:sz="4" w:space="0" w:color="000000"/>
              <w:bottom w:val="single" w:sz="4" w:space="0" w:color="000000"/>
              <w:right w:val="single" w:sz="4" w:space="0" w:color="000000"/>
            </w:tcBorders>
          </w:tcPr>
          <w:p w14:paraId="78685EC2" w14:textId="77777777" w:rsidR="00C959D0" w:rsidRPr="006D2071" w:rsidRDefault="00C959D0" w:rsidP="00961943">
            <w:pPr>
              <w:rPr>
                <w:rFonts w:cstheme="minorHAnsi"/>
                <w:sz w:val="24"/>
                <w:szCs w:val="24"/>
              </w:rPr>
            </w:pPr>
            <w:r w:rsidRPr="006D2071">
              <w:rPr>
                <w:rFonts w:cstheme="minorHAnsi"/>
                <w:sz w:val="24"/>
                <w:szCs w:val="24"/>
              </w:rPr>
              <w:t>Low- volume</w:t>
            </w:r>
          </w:p>
          <w:p w14:paraId="5708415F" w14:textId="77777777" w:rsidR="00C959D0" w:rsidRPr="006D2071" w:rsidRDefault="00C959D0" w:rsidP="00961943">
            <w:pPr>
              <w:rPr>
                <w:rFonts w:cstheme="minorHAnsi"/>
                <w:sz w:val="24"/>
                <w:szCs w:val="24"/>
              </w:rPr>
            </w:pPr>
            <w:r w:rsidRPr="006D2071">
              <w:rPr>
                <w:rFonts w:cstheme="minorHAnsi"/>
                <w:sz w:val="24"/>
                <w:szCs w:val="24"/>
              </w:rPr>
              <w:t>Intermediate risk</w:t>
            </w:r>
          </w:p>
          <w:p w14:paraId="72C0ADF4" w14:textId="77777777" w:rsidR="00C959D0" w:rsidRPr="006D2071" w:rsidRDefault="00C959D0" w:rsidP="00961943">
            <w:pPr>
              <w:rPr>
                <w:rFonts w:cstheme="minorHAnsi"/>
                <w:sz w:val="24"/>
                <w:szCs w:val="24"/>
              </w:rPr>
            </w:pPr>
            <w:r w:rsidRPr="006D2071">
              <w:rPr>
                <w:rFonts w:cstheme="minorHAnsi"/>
                <w:sz w:val="24"/>
                <w:szCs w:val="24"/>
              </w:rPr>
              <w:lastRenderedPageBreak/>
              <w:t>One of the following criteria:</w:t>
            </w:r>
          </w:p>
          <w:p w14:paraId="64DE5EAD" w14:textId="77777777" w:rsidR="00C959D0" w:rsidRPr="006D2071" w:rsidRDefault="00C959D0" w:rsidP="00961943">
            <w:pPr>
              <w:rPr>
                <w:rFonts w:cstheme="minorHAnsi"/>
                <w:sz w:val="24"/>
                <w:szCs w:val="24"/>
              </w:rPr>
            </w:pPr>
            <w:r w:rsidRPr="006D2071">
              <w:rPr>
                <w:rFonts w:cstheme="minorHAnsi"/>
                <w:sz w:val="24"/>
                <w:szCs w:val="24"/>
              </w:rPr>
              <w:t>-PSA &lt;10ng/mL, Gleason 7 (grade group 2 or 3), T2b</w:t>
            </w:r>
          </w:p>
          <w:p w14:paraId="41E3088F" w14:textId="77777777" w:rsidR="00C959D0" w:rsidRPr="006D2071" w:rsidRDefault="00C959D0" w:rsidP="00961943">
            <w:pPr>
              <w:rPr>
                <w:rFonts w:cstheme="minorHAnsi"/>
                <w:sz w:val="24"/>
                <w:szCs w:val="24"/>
              </w:rPr>
            </w:pPr>
          </w:p>
          <w:p w14:paraId="3DCC3D80" w14:textId="77777777" w:rsidR="00C959D0" w:rsidRPr="006D2071" w:rsidRDefault="00C959D0" w:rsidP="00961943">
            <w:pPr>
              <w:rPr>
                <w:rFonts w:cstheme="minorHAnsi"/>
                <w:sz w:val="24"/>
                <w:szCs w:val="24"/>
              </w:rPr>
            </w:pPr>
          </w:p>
        </w:tc>
        <w:tc>
          <w:tcPr>
            <w:tcW w:w="3020" w:type="dxa"/>
            <w:tcBorders>
              <w:top w:val="single" w:sz="4" w:space="0" w:color="000000"/>
              <w:left w:val="single" w:sz="4" w:space="0" w:color="000000"/>
              <w:bottom w:val="single" w:sz="4" w:space="0" w:color="000000"/>
              <w:right w:val="single" w:sz="4" w:space="0" w:color="000000"/>
            </w:tcBorders>
            <w:hideMark/>
          </w:tcPr>
          <w:p w14:paraId="5F603263" w14:textId="77777777" w:rsidR="00C959D0" w:rsidRPr="006D2071" w:rsidRDefault="00C959D0" w:rsidP="00961943">
            <w:pPr>
              <w:rPr>
                <w:rFonts w:cstheme="minorHAnsi"/>
                <w:sz w:val="24"/>
                <w:szCs w:val="24"/>
              </w:rPr>
            </w:pPr>
            <w:r w:rsidRPr="006D2071">
              <w:rPr>
                <w:rFonts w:cstheme="minorHAnsi"/>
                <w:sz w:val="24"/>
                <w:szCs w:val="24"/>
              </w:rPr>
              <w:lastRenderedPageBreak/>
              <w:t>If decision is surveillance only, no wait time</w:t>
            </w:r>
          </w:p>
          <w:p w14:paraId="0879E678" w14:textId="77777777" w:rsidR="00C959D0" w:rsidRPr="006D2071" w:rsidRDefault="00C959D0" w:rsidP="00961943">
            <w:pPr>
              <w:rPr>
                <w:rFonts w:cstheme="minorHAnsi"/>
                <w:sz w:val="24"/>
                <w:szCs w:val="24"/>
              </w:rPr>
            </w:pPr>
            <w:r w:rsidRPr="006D2071">
              <w:rPr>
                <w:rFonts w:cstheme="minorHAnsi"/>
                <w:sz w:val="24"/>
                <w:szCs w:val="24"/>
              </w:rPr>
              <w:lastRenderedPageBreak/>
              <w:t>If treatment is initiated and nomogram (</w:t>
            </w:r>
            <w:hyperlink r:id="rId63" w:history="1">
              <w:r w:rsidRPr="006D2071">
                <w:rPr>
                  <w:rStyle w:val="Hyperlink"/>
                  <w:rFonts w:cstheme="minorHAnsi"/>
                  <w:color w:val="0000FF"/>
                  <w:sz w:val="24"/>
                  <w:szCs w:val="24"/>
                </w:rPr>
                <w:t>www.nomograms.org</w:t>
              </w:r>
            </w:hyperlink>
            <w:r w:rsidRPr="006D2071">
              <w:rPr>
                <w:rFonts w:cstheme="minorHAnsi"/>
                <w:sz w:val="24"/>
                <w:szCs w:val="24"/>
              </w:rPr>
              <w:t>) predicts cancer-specific death over the next 15 years &lt;10%, no wait time</w:t>
            </w:r>
          </w:p>
        </w:tc>
        <w:tc>
          <w:tcPr>
            <w:tcW w:w="3020" w:type="dxa"/>
            <w:tcBorders>
              <w:top w:val="single" w:sz="4" w:space="0" w:color="000000"/>
              <w:left w:val="single" w:sz="4" w:space="0" w:color="000000"/>
              <w:bottom w:val="single" w:sz="4" w:space="0" w:color="000000"/>
              <w:right w:val="single" w:sz="4" w:space="0" w:color="000000"/>
            </w:tcBorders>
          </w:tcPr>
          <w:p w14:paraId="478B4FA7" w14:textId="77777777" w:rsidR="00C959D0" w:rsidRPr="006D2071" w:rsidRDefault="00C959D0" w:rsidP="00961943">
            <w:pPr>
              <w:rPr>
                <w:rFonts w:cstheme="minorHAnsi"/>
                <w:sz w:val="24"/>
                <w:szCs w:val="24"/>
              </w:rPr>
            </w:pPr>
            <w:r w:rsidRPr="006D2071">
              <w:rPr>
                <w:rFonts w:cstheme="minorHAnsi"/>
                <w:sz w:val="24"/>
                <w:szCs w:val="24"/>
              </w:rPr>
              <w:lastRenderedPageBreak/>
              <w:t xml:space="preserve">Post-transplant, surveillance and treatment if required </w:t>
            </w:r>
            <w:r w:rsidRPr="006D2071">
              <w:rPr>
                <w:rFonts w:cstheme="minorHAnsi"/>
                <w:sz w:val="24"/>
                <w:szCs w:val="24"/>
              </w:rPr>
              <w:lastRenderedPageBreak/>
              <w:t>depending on patient and cancer characteristics</w:t>
            </w:r>
          </w:p>
        </w:tc>
      </w:tr>
      <w:tr w:rsidR="00C959D0" w:rsidRPr="006D2071" w14:paraId="526442D0" w14:textId="77777777" w:rsidTr="00961943">
        <w:trPr>
          <w:trHeight w:val="368"/>
        </w:trPr>
        <w:tc>
          <w:tcPr>
            <w:tcW w:w="3020" w:type="dxa"/>
            <w:tcBorders>
              <w:top w:val="single" w:sz="4" w:space="0" w:color="000000"/>
              <w:left w:val="single" w:sz="4" w:space="0" w:color="000000"/>
              <w:bottom w:val="single" w:sz="4" w:space="0" w:color="000000"/>
              <w:right w:val="single" w:sz="4" w:space="0" w:color="000000"/>
            </w:tcBorders>
            <w:hideMark/>
          </w:tcPr>
          <w:p w14:paraId="0CE25EE5" w14:textId="77777777" w:rsidR="00C959D0" w:rsidRPr="006D2071" w:rsidRDefault="00C959D0" w:rsidP="00961943">
            <w:pPr>
              <w:rPr>
                <w:rFonts w:cstheme="minorHAnsi"/>
                <w:sz w:val="24"/>
                <w:szCs w:val="24"/>
              </w:rPr>
            </w:pPr>
            <w:r w:rsidRPr="006D2071">
              <w:rPr>
                <w:rFonts w:cstheme="minorHAnsi"/>
                <w:sz w:val="24"/>
                <w:szCs w:val="24"/>
              </w:rPr>
              <w:lastRenderedPageBreak/>
              <w:t>High-Volume Intermediate risk, High Risk or Very High Risk</w:t>
            </w:r>
          </w:p>
          <w:p w14:paraId="635F2F3C" w14:textId="77777777" w:rsidR="00C959D0" w:rsidRPr="006D2071" w:rsidRDefault="00C959D0" w:rsidP="00961943">
            <w:pPr>
              <w:rPr>
                <w:rFonts w:cstheme="minorHAnsi"/>
                <w:sz w:val="24"/>
                <w:szCs w:val="24"/>
              </w:rPr>
            </w:pPr>
            <w:r w:rsidRPr="006D2071">
              <w:rPr>
                <w:rFonts w:cstheme="minorHAnsi"/>
                <w:sz w:val="24"/>
                <w:szCs w:val="24"/>
              </w:rPr>
              <w:t xml:space="preserve">-PSA&gt;20ng/mL or </w:t>
            </w:r>
            <w:proofErr w:type="gramStart"/>
            <w:r w:rsidRPr="006D2071">
              <w:rPr>
                <w:rFonts w:cstheme="minorHAnsi"/>
                <w:sz w:val="24"/>
                <w:szCs w:val="24"/>
              </w:rPr>
              <w:t>High volume</w:t>
            </w:r>
            <w:proofErr w:type="gramEnd"/>
            <w:r w:rsidRPr="006D2071">
              <w:rPr>
                <w:rFonts w:cstheme="minorHAnsi"/>
                <w:sz w:val="24"/>
                <w:szCs w:val="24"/>
              </w:rPr>
              <w:t xml:space="preserve"> Gleason 7 or any Gleason 8-10, T3</w:t>
            </w:r>
          </w:p>
        </w:tc>
        <w:tc>
          <w:tcPr>
            <w:tcW w:w="3020" w:type="dxa"/>
            <w:tcBorders>
              <w:top w:val="single" w:sz="4" w:space="0" w:color="000000"/>
              <w:left w:val="single" w:sz="4" w:space="0" w:color="000000"/>
              <w:bottom w:val="single" w:sz="4" w:space="0" w:color="000000"/>
              <w:right w:val="single" w:sz="4" w:space="0" w:color="000000"/>
            </w:tcBorders>
            <w:hideMark/>
          </w:tcPr>
          <w:p w14:paraId="55A40BE7" w14:textId="77777777" w:rsidR="00C959D0" w:rsidRPr="006D2071" w:rsidRDefault="00C959D0" w:rsidP="00961943">
            <w:pPr>
              <w:rPr>
                <w:rFonts w:cstheme="minorHAnsi"/>
                <w:sz w:val="24"/>
                <w:szCs w:val="24"/>
              </w:rPr>
            </w:pPr>
            <w:r w:rsidRPr="006D2071">
              <w:rPr>
                <w:rFonts w:cstheme="minorHAnsi"/>
                <w:sz w:val="24"/>
                <w:szCs w:val="24"/>
              </w:rPr>
              <w:t>If treated, deemed cured and nomogram predicts cancer-specific death over the next 15 years &lt;10%, no further wait time</w:t>
            </w:r>
          </w:p>
        </w:tc>
        <w:tc>
          <w:tcPr>
            <w:tcW w:w="3020" w:type="dxa"/>
            <w:tcBorders>
              <w:top w:val="single" w:sz="4" w:space="0" w:color="000000"/>
              <w:left w:val="single" w:sz="4" w:space="0" w:color="000000"/>
              <w:bottom w:val="single" w:sz="4" w:space="0" w:color="000000"/>
              <w:right w:val="single" w:sz="4" w:space="0" w:color="000000"/>
            </w:tcBorders>
          </w:tcPr>
          <w:p w14:paraId="11698778" w14:textId="77777777" w:rsidR="00C959D0" w:rsidRPr="006D2071" w:rsidRDefault="00C959D0" w:rsidP="00961943">
            <w:pPr>
              <w:rPr>
                <w:rFonts w:cstheme="minorHAnsi"/>
                <w:sz w:val="24"/>
                <w:szCs w:val="24"/>
              </w:rPr>
            </w:pPr>
          </w:p>
          <w:p w14:paraId="187EC550" w14:textId="77777777" w:rsidR="00C959D0" w:rsidRPr="006D2071" w:rsidRDefault="00C959D0" w:rsidP="00961943">
            <w:pPr>
              <w:rPr>
                <w:rFonts w:cstheme="minorHAnsi"/>
                <w:sz w:val="24"/>
                <w:szCs w:val="24"/>
              </w:rPr>
            </w:pPr>
            <w:r w:rsidRPr="006D2071">
              <w:rPr>
                <w:rFonts w:cstheme="minorHAnsi"/>
                <w:sz w:val="24"/>
                <w:szCs w:val="24"/>
              </w:rPr>
              <w:t xml:space="preserve"> May require treatment post-transplant if there is disease recurrence</w:t>
            </w:r>
          </w:p>
        </w:tc>
      </w:tr>
      <w:tr w:rsidR="00C959D0" w:rsidRPr="006D2071" w14:paraId="11806374" w14:textId="77777777" w:rsidTr="00961943">
        <w:trPr>
          <w:trHeight w:val="368"/>
        </w:trPr>
        <w:tc>
          <w:tcPr>
            <w:tcW w:w="3020" w:type="dxa"/>
            <w:tcBorders>
              <w:top w:val="single" w:sz="4" w:space="0" w:color="000000"/>
              <w:left w:val="single" w:sz="4" w:space="0" w:color="000000"/>
              <w:bottom w:val="single" w:sz="4" w:space="0" w:color="000000"/>
              <w:right w:val="single" w:sz="4" w:space="0" w:color="000000"/>
            </w:tcBorders>
            <w:hideMark/>
          </w:tcPr>
          <w:p w14:paraId="6B63FA9B" w14:textId="77777777" w:rsidR="00C959D0" w:rsidRPr="006D2071" w:rsidRDefault="00C959D0" w:rsidP="00961943">
            <w:pPr>
              <w:rPr>
                <w:rFonts w:cstheme="minorHAnsi"/>
                <w:sz w:val="24"/>
                <w:szCs w:val="24"/>
              </w:rPr>
            </w:pPr>
            <w:r w:rsidRPr="006D2071">
              <w:rPr>
                <w:rFonts w:cstheme="minorHAnsi"/>
                <w:sz w:val="24"/>
                <w:szCs w:val="24"/>
              </w:rPr>
              <w:t>Metastatic disease</w:t>
            </w:r>
          </w:p>
        </w:tc>
        <w:tc>
          <w:tcPr>
            <w:tcW w:w="3020" w:type="dxa"/>
            <w:tcBorders>
              <w:top w:val="single" w:sz="4" w:space="0" w:color="000000"/>
              <w:left w:val="single" w:sz="4" w:space="0" w:color="000000"/>
              <w:bottom w:val="single" w:sz="4" w:space="0" w:color="000000"/>
              <w:right w:val="single" w:sz="4" w:space="0" w:color="000000"/>
            </w:tcBorders>
            <w:hideMark/>
          </w:tcPr>
          <w:p w14:paraId="7591EC5D" w14:textId="77777777" w:rsidR="00C959D0" w:rsidRPr="006D2071" w:rsidRDefault="00C959D0" w:rsidP="00961943">
            <w:pPr>
              <w:rPr>
                <w:rFonts w:cstheme="minorHAnsi"/>
                <w:sz w:val="24"/>
                <w:szCs w:val="24"/>
              </w:rPr>
            </w:pPr>
            <w:r w:rsidRPr="006D2071">
              <w:rPr>
                <w:rFonts w:cstheme="minorHAnsi"/>
                <w:sz w:val="24"/>
                <w:szCs w:val="24"/>
              </w:rPr>
              <w:t>Transplant</w:t>
            </w:r>
            <w:r>
              <w:rPr>
                <w:rFonts w:cstheme="minorHAnsi"/>
                <w:sz w:val="24"/>
                <w:szCs w:val="24"/>
              </w:rPr>
              <w:t>ation</w:t>
            </w:r>
            <w:r w:rsidRPr="006D2071">
              <w:rPr>
                <w:rFonts w:cstheme="minorHAnsi"/>
                <w:sz w:val="24"/>
                <w:szCs w:val="24"/>
              </w:rPr>
              <w:t xml:space="preserve"> is not recommended </w:t>
            </w:r>
          </w:p>
        </w:tc>
        <w:tc>
          <w:tcPr>
            <w:tcW w:w="3020" w:type="dxa"/>
            <w:tcBorders>
              <w:top w:val="single" w:sz="4" w:space="0" w:color="000000"/>
              <w:left w:val="single" w:sz="4" w:space="0" w:color="000000"/>
              <w:bottom w:val="single" w:sz="4" w:space="0" w:color="000000"/>
              <w:right w:val="single" w:sz="4" w:space="0" w:color="000000"/>
            </w:tcBorders>
            <w:hideMark/>
          </w:tcPr>
          <w:p w14:paraId="7A25A6E4" w14:textId="77777777" w:rsidR="00C959D0" w:rsidRPr="006D2071" w:rsidRDefault="00C959D0" w:rsidP="00961943">
            <w:pPr>
              <w:rPr>
                <w:rFonts w:cstheme="minorHAnsi"/>
                <w:sz w:val="24"/>
                <w:szCs w:val="24"/>
              </w:rPr>
            </w:pPr>
            <w:r w:rsidRPr="006D2071">
              <w:rPr>
                <w:rFonts w:cstheme="minorHAnsi"/>
                <w:sz w:val="24"/>
                <w:szCs w:val="24"/>
              </w:rPr>
              <w:t>Castration-sensitive metastatic disease, treated with local and systemic therapy, stable disease for 2 years, may consider transplant</w:t>
            </w:r>
          </w:p>
        </w:tc>
      </w:tr>
    </w:tbl>
    <w:p w14:paraId="05741EE7" w14:textId="77777777" w:rsidR="00C959D0" w:rsidRDefault="00C959D0" w:rsidP="00C959D0">
      <w:pPr>
        <w:rPr>
          <w:rFonts w:cstheme="minorHAnsi"/>
          <w:b/>
          <w:bCs/>
          <w:sz w:val="24"/>
          <w:szCs w:val="24"/>
        </w:rPr>
      </w:pPr>
    </w:p>
    <w:p w14:paraId="52D23B84" w14:textId="77777777" w:rsidR="00C959D0" w:rsidRPr="005C1915" w:rsidRDefault="00C959D0" w:rsidP="00C959D0">
      <w:pPr>
        <w:rPr>
          <w:rFonts w:cstheme="minorHAnsi"/>
          <w:b/>
          <w:bCs/>
          <w:color w:val="002060"/>
          <w:sz w:val="24"/>
          <w:szCs w:val="24"/>
        </w:rPr>
      </w:pPr>
      <w:r w:rsidRPr="005C1915">
        <w:rPr>
          <w:rFonts w:cstheme="minorHAnsi"/>
          <w:b/>
          <w:bCs/>
          <w:color w:val="002060"/>
          <w:sz w:val="24"/>
          <w:szCs w:val="24"/>
        </w:rPr>
        <w:t>Renal cell carcinoma</w:t>
      </w:r>
    </w:p>
    <w:tbl>
      <w:tblPr>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4"/>
        <w:gridCol w:w="3005"/>
        <w:gridCol w:w="3006"/>
      </w:tblGrid>
      <w:tr w:rsidR="00C959D0" w:rsidRPr="006D2071" w14:paraId="55EB7073" w14:textId="77777777" w:rsidTr="00961943">
        <w:tc>
          <w:tcPr>
            <w:tcW w:w="3005" w:type="dxa"/>
            <w:tcBorders>
              <w:top w:val="single" w:sz="4" w:space="0" w:color="000000"/>
              <w:left w:val="single" w:sz="4" w:space="0" w:color="000000"/>
              <w:bottom w:val="single" w:sz="4" w:space="0" w:color="000000"/>
              <w:right w:val="single" w:sz="4" w:space="0" w:color="000000"/>
            </w:tcBorders>
            <w:hideMark/>
          </w:tcPr>
          <w:p w14:paraId="66420840" w14:textId="77777777" w:rsidR="00C959D0" w:rsidRPr="006D2071" w:rsidRDefault="00C959D0" w:rsidP="00961943">
            <w:pPr>
              <w:rPr>
                <w:rFonts w:cstheme="minorHAnsi"/>
                <w:b/>
                <w:sz w:val="24"/>
                <w:szCs w:val="24"/>
              </w:rPr>
            </w:pPr>
            <w:r w:rsidRPr="006D2071">
              <w:rPr>
                <w:rFonts w:cstheme="minorHAnsi"/>
                <w:b/>
                <w:sz w:val="24"/>
                <w:szCs w:val="24"/>
              </w:rPr>
              <w:t>Risk/Stage</w:t>
            </w:r>
          </w:p>
        </w:tc>
        <w:tc>
          <w:tcPr>
            <w:tcW w:w="3005" w:type="dxa"/>
            <w:tcBorders>
              <w:top w:val="single" w:sz="4" w:space="0" w:color="000000"/>
              <w:left w:val="single" w:sz="4" w:space="0" w:color="000000"/>
              <w:bottom w:val="single" w:sz="4" w:space="0" w:color="000000"/>
              <w:right w:val="single" w:sz="4" w:space="0" w:color="000000"/>
            </w:tcBorders>
            <w:hideMark/>
          </w:tcPr>
          <w:p w14:paraId="0E435C2A" w14:textId="77777777" w:rsidR="00C959D0" w:rsidRPr="006D2071" w:rsidRDefault="00C959D0" w:rsidP="00961943">
            <w:pPr>
              <w:rPr>
                <w:rFonts w:cstheme="minorHAnsi"/>
                <w:b/>
                <w:sz w:val="24"/>
                <w:szCs w:val="24"/>
              </w:rPr>
            </w:pPr>
            <w:r w:rsidRPr="006D2071">
              <w:rPr>
                <w:rFonts w:cstheme="minorHAnsi"/>
                <w:b/>
                <w:sz w:val="24"/>
                <w:szCs w:val="24"/>
              </w:rPr>
              <w:t>Recommended time interval to transplant</w:t>
            </w:r>
          </w:p>
        </w:tc>
        <w:tc>
          <w:tcPr>
            <w:tcW w:w="3006" w:type="dxa"/>
            <w:tcBorders>
              <w:top w:val="single" w:sz="4" w:space="0" w:color="000000"/>
              <w:left w:val="single" w:sz="4" w:space="0" w:color="000000"/>
              <w:bottom w:val="single" w:sz="4" w:space="0" w:color="000000"/>
              <w:right w:val="single" w:sz="4" w:space="0" w:color="000000"/>
            </w:tcBorders>
            <w:hideMark/>
          </w:tcPr>
          <w:p w14:paraId="493373BA" w14:textId="77777777" w:rsidR="00C959D0" w:rsidRPr="006D2071" w:rsidRDefault="00C959D0" w:rsidP="00961943">
            <w:pPr>
              <w:rPr>
                <w:rFonts w:cstheme="minorHAnsi"/>
                <w:b/>
                <w:sz w:val="24"/>
                <w:szCs w:val="24"/>
              </w:rPr>
            </w:pPr>
            <w:r w:rsidRPr="006D2071">
              <w:rPr>
                <w:rFonts w:cstheme="minorHAnsi"/>
                <w:b/>
                <w:sz w:val="24"/>
                <w:szCs w:val="24"/>
              </w:rPr>
              <w:t>Additional considerations</w:t>
            </w:r>
          </w:p>
        </w:tc>
      </w:tr>
      <w:tr w:rsidR="00C959D0" w:rsidRPr="006D2071" w14:paraId="1C0F31D4" w14:textId="77777777" w:rsidTr="00961943">
        <w:tc>
          <w:tcPr>
            <w:tcW w:w="3005" w:type="dxa"/>
            <w:tcBorders>
              <w:top w:val="single" w:sz="4" w:space="0" w:color="000000"/>
              <w:left w:val="single" w:sz="4" w:space="0" w:color="000000"/>
              <w:bottom w:val="single" w:sz="4" w:space="0" w:color="000000"/>
              <w:right w:val="single" w:sz="4" w:space="0" w:color="000000"/>
            </w:tcBorders>
            <w:hideMark/>
          </w:tcPr>
          <w:p w14:paraId="4445C95D" w14:textId="77777777" w:rsidR="00C959D0" w:rsidRPr="006D2071" w:rsidRDefault="00C959D0" w:rsidP="00961943">
            <w:pPr>
              <w:rPr>
                <w:rFonts w:cstheme="minorHAnsi"/>
                <w:sz w:val="24"/>
                <w:szCs w:val="24"/>
              </w:rPr>
            </w:pPr>
            <w:r w:rsidRPr="006D2071">
              <w:rPr>
                <w:rFonts w:cstheme="minorHAnsi"/>
                <w:sz w:val="24"/>
                <w:szCs w:val="24"/>
              </w:rPr>
              <w:t>T1a (≤4 cm), N0, M0</w:t>
            </w:r>
          </w:p>
        </w:tc>
        <w:tc>
          <w:tcPr>
            <w:tcW w:w="3005" w:type="dxa"/>
            <w:tcBorders>
              <w:top w:val="single" w:sz="4" w:space="0" w:color="000000"/>
              <w:left w:val="single" w:sz="4" w:space="0" w:color="000000"/>
              <w:bottom w:val="single" w:sz="4" w:space="0" w:color="000000"/>
              <w:right w:val="single" w:sz="4" w:space="0" w:color="000000"/>
            </w:tcBorders>
            <w:hideMark/>
          </w:tcPr>
          <w:p w14:paraId="444AC99B" w14:textId="77777777" w:rsidR="00C959D0" w:rsidRPr="006D2071" w:rsidRDefault="00C959D0" w:rsidP="00961943">
            <w:pPr>
              <w:rPr>
                <w:rFonts w:cstheme="minorHAnsi"/>
                <w:sz w:val="24"/>
                <w:szCs w:val="24"/>
              </w:rPr>
            </w:pPr>
            <w:r w:rsidRPr="006D2071">
              <w:rPr>
                <w:rFonts w:cstheme="minorHAnsi"/>
                <w:sz w:val="24"/>
                <w:szCs w:val="24"/>
              </w:rPr>
              <w:t>No wait time</w:t>
            </w:r>
          </w:p>
        </w:tc>
        <w:tc>
          <w:tcPr>
            <w:tcW w:w="3006" w:type="dxa"/>
            <w:tcBorders>
              <w:top w:val="single" w:sz="4" w:space="0" w:color="000000"/>
              <w:left w:val="single" w:sz="4" w:space="0" w:color="000000"/>
              <w:bottom w:val="single" w:sz="4" w:space="0" w:color="000000"/>
              <w:right w:val="single" w:sz="4" w:space="0" w:color="000000"/>
            </w:tcBorders>
            <w:hideMark/>
          </w:tcPr>
          <w:p w14:paraId="04250A77" w14:textId="77777777" w:rsidR="00C959D0" w:rsidRPr="006D2071" w:rsidRDefault="00C959D0" w:rsidP="00961943">
            <w:pPr>
              <w:rPr>
                <w:rFonts w:cstheme="minorHAnsi"/>
                <w:sz w:val="24"/>
                <w:szCs w:val="24"/>
              </w:rPr>
            </w:pPr>
            <w:r w:rsidRPr="006D2071">
              <w:rPr>
                <w:rFonts w:cstheme="minorHAnsi"/>
                <w:sz w:val="24"/>
                <w:szCs w:val="24"/>
              </w:rPr>
              <w:t>Resection/nephrectomy before listing is the standard approach but in selected cases, active surveillance can be an option. A biopsy can be useful in guiding management.</w:t>
            </w:r>
          </w:p>
        </w:tc>
      </w:tr>
      <w:tr w:rsidR="00C959D0" w:rsidRPr="006D2071" w14:paraId="41B4EB86" w14:textId="77777777" w:rsidTr="00961943">
        <w:tc>
          <w:tcPr>
            <w:tcW w:w="3005" w:type="dxa"/>
            <w:tcBorders>
              <w:top w:val="single" w:sz="4" w:space="0" w:color="000000"/>
              <w:left w:val="single" w:sz="4" w:space="0" w:color="000000"/>
              <w:bottom w:val="single" w:sz="4" w:space="0" w:color="000000"/>
              <w:right w:val="single" w:sz="4" w:space="0" w:color="000000"/>
            </w:tcBorders>
            <w:hideMark/>
          </w:tcPr>
          <w:p w14:paraId="0DF74725" w14:textId="77777777" w:rsidR="00C959D0" w:rsidRPr="006D2071" w:rsidRDefault="00C959D0" w:rsidP="00961943">
            <w:pPr>
              <w:rPr>
                <w:rFonts w:cstheme="minorHAnsi"/>
                <w:sz w:val="24"/>
                <w:szCs w:val="24"/>
              </w:rPr>
            </w:pPr>
            <w:r w:rsidRPr="006D2071">
              <w:rPr>
                <w:rFonts w:cstheme="minorHAnsi"/>
                <w:sz w:val="24"/>
                <w:szCs w:val="24"/>
              </w:rPr>
              <w:t>T1b (&gt;4cm ≤7cm), N0, M0</w:t>
            </w:r>
          </w:p>
        </w:tc>
        <w:tc>
          <w:tcPr>
            <w:tcW w:w="3005" w:type="dxa"/>
            <w:tcBorders>
              <w:top w:val="single" w:sz="4" w:space="0" w:color="000000"/>
              <w:left w:val="single" w:sz="4" w:space="0" w:color="000000"/>
              <w:bottom w:val="single" w:sz="4" w:space="0" w:color="000000"/>
              <w:right w:val="single" w:sz="4" w:space="0" w:color="000000"/>
            </w:tcBorders>
            <w:hideMark/>
          </w:tcPr>
          <w:p w14:paraId="62710199" w14:textId="77777777" w:rsidR="00C959D0" w:rsidRPr="006D2071" w:rsidRDefault="00C959D0" w:rsidP="00961943">
            <w:pPr>
              <w:rPr>
                <w:rFonts w:cstheme="minorHAnsi"/>
                <w:sz w:val="24"/>
                <w:szCs w:val="24"/>
              </w:rPr>
            </w:pPr>
            <w:r w:rsidRPr="006D2071">
              <w:rPr>
                <w:rFonts w:cstheme="minorHAnsi"/>
                <w:sz w:val="24"/>
                <w:szCs w:val="24"/>
              </w:rPr>
              <w:t>1-2 years based on histology (Fuhrman grade)</w:t>
            </w:r>
          </w:p>
        </w:tc>
        <w:tc>
          <w:tcPr>
            <w:tcW w:w="3006" w:type="dxa"/>
            <w:tcBorders>
              <w:top w:val="single" w:sz="4" w:space="0" w:color="000000"/>
              <w:left w:val="single" w:sz="4" w:space="0" w:color="000000"/>
              <w:bottom w:val="single" w:sz="4" w:space="0" w:color="000000"/>
              <w:right w:val="single" w:sz="4" w:space="0" w:color="000000"/>
            </w:tcBorders>
            <w:hideMark/>
          </w:tcPr>
          <w:p w14:paraId="24573C66" w14:textId="77777777" w:rsidR="00C959D0" w:rsidRPr="006D2071" w:rsidRDefault="00C959D0" w:rsidP="00961943">
            <w:pPr>
              <w:rPr>
                <w:rFonts w:cstheme="minorHAnsi"/>
                <w:sz w:val="24"/>
                <w:szCs w:val="24"/>
              </w:rPr>
            </w:pPr>
            <w:r w:rsidRPr="006D2071">
              <w:rPr>
                <w:rFonts w:cstheme="minorHAnsi"/>
                <w:sz w:val="24"/>
                <w:szCs w:val="24"/>
              </w:rPr>
              <w:t>Fuhrman grade (FG)1 -2: consider no wait time, FG 3-4: 1-2 years</w:t>
            </w:r>
          </w:p>
        </w:tc>
      </w:tr>
      <w:tr w:rsidR="00C959D0" w:rsidRPr="006D2071" w14:paraId="2E039F0D" w14:textId="77777777" w:rsidTr="00961943">
        <w:tc>
          <w:tcPr>
            <w:tcW w:w="3005" w:type="dxa"/>
            <w:tcBorders>
              <w:top w:val="single" w:sz="4" w:space="0" w:color="000000"/>
              <w:left w:val="single" w:sz="4" w:space="0" w:color="000000"/>
              <w:bottom w:val="single" w:sz="4" w:space="0" w:color="000000"/>
              <w:right w:val="single" w:sz="4" w:space="0" w:color="000000"/>
            </w:tcBorders>
            <w:hideMark/>
          </w:tcPr>
          <w:p w14:paraId="54BC3EAF" w14:textId="77777777" w:rsidR="00C959D0" w:rsidRPr="006D2071" w:rsidRDefault="00C959D0" w:rsidP="00961943">
            <w:pPr>
              <w:rPr>
                <w:rFonts w:cstheme="minorHAnsi"/>
                <w:sz w:val="24"/>
                <w:szCs w:val="24"/>
              </w:rPr>
            </w:pPr>
            <w:r w:rsidRPr="006D2071">
              <w:rPr>
                <w:rFonts w:cstheme="minorHAnsi"/>
                <w:sz w:val="24"/>
                <w:szCs w:val="24"/>
              </w:rPr>
              <w:t>T2 (7-10 cm), N0, M0</w:t>
            </w:r>
          </w:p>
        </w:tc>
        <w:tc>
          <w:tcPr>
            <w:tcW w:w="3005" w:type="dxa"/>
            <w:tcBorders>
              <w:top w:val="single" w:sz="4" w:space="0" w:color="000000"/>
              <w:left w:val="single" w:sz="4" w:space="0" w:color="000000"/>
              <w:bottom w:val="single" w:sz="4" w:space="0" w:color="000000"/>
              <w:right w:val="single" w:sz="4" w:space="0" w:color="000000"/>
            </w:tcBorders>
            <w:hideMark/>
          </w:tcPr>
          <w:p w14:paraId="54BD9298" w14:textId="77777777" w:rsidR="00C959D0" w:rsidRPr="006D2071" w:rsidRDefault="00C959D0" w:rsidP="00961943">
            <w:pPr>
              <w:rPr>
                <w:rFonts w:cstheme="minorHAnsi"/>
                <w:sz w:val="24"/>
                <w:szCs w:val="24"/>
              </w:rPr>
            </w:pPr>
            <w:r w:rsidRPr="006D2071">
              <w:rPr>
                <w:rFonts w:cstheme="minorHAnsi"/>
                <w:sz w:val="24"/>
                <w:szCs w:val="24"/>
              </w:rPr>
              <w:t>2 Years</w:t>
            </w:r>
          </w:p>
        </w:tc>
        <w:tc>
          <w:tcPr>
            <w:tcW w:w="3006" w:type="dxa"/>
            <w:tcBorders>
              <w:top w:val="single" w:sz="4" w:space="0" w:color="000000"/>
              <w:left w:val="single" w:sz="4" w:space="0" w:color="000000"/>
              <w:bottom w:val="single" w:sz="4" w:space="0" w:color="000000"/>
              <w:right w:val="single" w:sz="4" w:space="0" w:color="000000"/>
            </w:tcBorders>
          </w:tcPr>
          <w:p w14:paraId="07ADB4F4" w14:textId="77777777" w:rsidR="00C959D0" w:rsidRPr="006D2071" w:rsidRDefault="00C959D0" w:rsidP="00961943">
            <w:pPr>
              <w:rPr>
                <w:rFonts w:cstheme="minorHAnsi"/>
                <w:sz w:val="24"/>
                <w:szCs w:val="24"/>
              </w:rPr>
            </w:pPr>
          </w:p>
        </w:tc>
      </w:tr>
      <w:tr w:rsidR="00C959D0" w:rsidRPr="006D2071" w14:paraId="6AAED58A" w14:textId="77777777" w:rsidTr="00961943">
        <w:tc>
          <w:tcPr>
            <w:tcW w:w="3005" w:type="dxa"/>
            <w:tcBorders>
              <w:top w:val="single" w:sz="4" w:space="0" w:color="000000"/>
              <w:left w:val="single" w:sz="4" w:space="0" w:color="000000"/>
              <w:bottom w:val="single" w:sz="4" w:space="0" w:color="000000"/>
              <w:right w:val="single" w:sz="4" w:space="0" w:color="000000"/>
            </w:tcBorders>
            <w:hideMark/>
          </w:tcPr>
          <w:p w14:paraId="5BF98838" w14:textId="77777777" w:rsidR="00C959D0" w:rsidRPr="006D2071" w:rsidRDefault="00C959D0" w:rsidP="00961943">
            <w:pPr>
              <w:rPr>
                <w:rFonts w:cstheme="minorHAnsi"/>
                <w:sz w:val="24"/>
                <w:szCs w:val="24"/>
              </w:rPr>
            </w:pPr>
            <w:r w:rsidRPr="006D2071">
              <w:rPr>
                <w:rFonts w:cstheme="minorHAnsi"/>
                <w:sz w:val="24"/>
                <w:szCs w:val="24"/>
              </w:rPr>
              <w:t>T3, N0, M0</w:t>
            </w:r>
          </w:p>
        </w:tc>
        <w:tc>
          <w:tcPr>
            <w:tcW w:w="3005" w:type="dxa"/>
            <w:tcBorders>
              <w:top w:val="single" w:sz="4" w:space="0" w:color="000000"/>
              <w:left w:val="single" w:sz="4" w:space="0" w:color="000000"/>
              <w:bottom w:val="single" w:sz="4" w:space="0" w:color="000000"/>
              <w:right w:val="single" w:sz="4" w:space="0" w:color="000000"/>
            </w:tcBorders>
            <w:hideMark/>
          </w:tcPr>
          <w:p w14:paraId="0EEBA5A9" w14:textId="77777777" w:rsidR="00C959D0" w:rsidRPr="006D2071" w:rsidRDefault="00C959D0" w:rsidP="00961943">
            <w:pPr>
              <w:rPr>
                <w:rFonts w:cstheme="minorHAnsi"/>
                <w:sz w:val="24"/>
                <w:szCs w:val="24"/>
              </w:rPr>
            </w:pPr>
            <w:r w:rsidRPr="006D2071">
              <w:rPr>
                <w:rFonts w:cstheme="minorHAnsi"/>
                <w:sz w:val="24"/>
                <w:szCs w:val="24"/>
              </w:rPr>
              <w:t>2-3 years</w:t>
            </w:r>
          </w:p>
        </w:tc>
        <w:tc>
          <w:tcPr>
            <w:tcW w:w="3006" w:type="dxa"/>
            <w:tcBorders>
              <w:top w:val="single" w:sz="4" w:space="0" w:color="000000"/>
              <w:left w:val="single" w:sz="4" w:space="0" w:color="000000"/>
              <w:bottom w:val="single" w:sz="4" w:space="0" w:color="000000"/>
              <w:right w:val="single" w:sz="4" w:space="0" w:color="000000"/>
            </w:tcBorders>
          </w:tcPr>
          <w:p w14:paraId="013F0BA8" w14:textId="77777777" w:rsidR="00C959D0" w:rsidRPr="006D2071" w:rsidRDefault="00C959D0" w:rsidP="00961943">
            <w:pPr>
              <w:rPr>
                <w:rFonts w:cstheme="minorHAnsi"/>
                <w:sz w:val="24"/>
                <w:szCs w:val="24"/>
              </w:rPr>
            </w:pPr>
          </w:p>
        </w:tc>
      </w:tr>
      <w:tr w:rsidR="00C959D0" w:rsidRPr="006D2071" w14:paraId="6CCB7B06" w14:textId="77777777" w:rsidTr="00961943">
        <w:tc>
          <w:tcPr>
            <w:tcW w:w="3005" w:type="dxa"/>
            <w:tcBorders>
              <w:top w:val="single" w:sz="4" w:space="0" w:color="000000"/>
              <w:left w:val="single" w:sz="4" w:space="0" w:color="000000"/>
              <w:bottom w:val="single" w:sz="4" w:space="0" w:color="000000"/>
              <w:right w:val="single" w:sz="4" w:space="0" w:color="000000"/>
            </w:tcBorders>
            <w:hideMark/>
          </w:tcPr>
          <w:p w14:paraId="50430119" w14:textId="77777777" w:rsidR="00C959D0" w:rsidRPr="006D2071" w:rsidRDefault="00C959D0" w:rsidP="00961943">
            <w:pPr>
              <w:rPr>
                <w:rFonts w:cstheme="minorHAnsi"/>
                <w:sz w:val="24"/>
                <w:szCs w:val="24"/>
              </w:rPr>
            </w:pPr>
            <w:r w:rsidRPr="006D2071">
              <w:rPr>
                <w:rFonts w:cstheme="minorHAnsi"/>
                <w:sz w:val="24"/>
                <w:szCs w:val="24"/>
              </w:rPr>
              <w:t>T4, N0, M0</w:t>
            </w:r>
          </w:p>
        </w:tc>
        <w:tc>
          <w:tcPr>
            <w:tcW w:w="3005" w:type="dxa"/>
            <w:tcBorders>
              <w:top w:val="single" w:sz="4" w:space="0" w:color="000000"/>
              <w:left w:val="single" w:sz="4" w:space="0" w:color="000000"/>
              <w:bottom w:val="single" w:sz="4" w:space="0" w:color="000000"/>
              <w:right w:val="single" w:sz="4" w:space="0" w:color="000000"/>
            </w:tcBorders>
            <w:hideMark/>
          </w:tcPr>
          <w:p w14:paraId="358E0BF3" w14:textId="77777777" w:rsidR="00C959D0" w:rsidRPr="006D2071" w:rsidRDefault="00C959D0" w:rsidP="00961943">
            <w:pPr>
              <w:rPr>
                <w:rFonts w:cstheme="minorHAnsi"/>
                <w:sz w:val="24"/>
                <w:szCs w:val="24"/>
              </w:rPr>
            </w:pPr>
            <w:r w:rsidRPr="006D2071">
              <w:rPr>
                <w:rFonts w:cstheme="minorHAnsi"/>
                <w:sz w:val="24"/>
                <w:szCs w:val="24"/>
              </w:rPr>
              <w:t>2-3 years</w:t>
            </w:r>
          </w:p>
        </w:tc>
        <w:tc>
          <w:tcPr>
            <w:tcW w:w="3006" w:type="dxa"/>
            <w:tcBorders>
              <w:top w:val="single" w:sz="4" w:space="0" w:color="000000"/>
              <w:left w:val="single" w:sz="4" w:space="0" w:color="000000"/>
              <w:bottom w:val="single" w:sz="4" w:space="0" w:color="000000"/>
              <w:right w:val="single" w:sz="4" w:space="0" w:color="000000"/>
            </w:tcBorders>
          </w:tcPr>
          <w:p w14:paraId="256D4A63" w14:textId="77777777" w:rsidR="00C959D0" w:rsidRPr="006D2071" w:rsidRDefault="00C959D0" w:rsidP="00961943">
            <w:pPr>
              <w:rPr>
                <w:rFonts w:cstheme="minorHAnsi"/>
                <w:sz w:val="24"/>
                <w:szCs w:val="24"/>
              </w:rPr>
            </w:pPr>
          </w:p>
        </w:tc>
      </w:tr>
      <w:tr w:rsidR="00C959D0" w:rsidRPr="006D2071" w14:paraId="487D4D7C" w14:textId="77777777" w:rsidTr="00961943">
        <w:tc>
          <w:tcPr>
            <w:tcW w:w="3005" w:type="dxa"/>
            <w:tcBorders>
              <w:top w:val="single" w:sz="4" w:space="0" w:color="000000"/>
              <w:left w:val="single" w:sz="4" w:space="0" w:color="000000"/>
              <w:bottom w:val="single" w:sz="4" w:space="0" w:color="000000"/>
              <w:right w:val="single" w:sz="4" w:space="0" w:color="000000"/>
            </w:tcBorders>
            <w:hideMark/>
          </w:tcPr>
          <w:p w14:paraId="553B84D2" w14:textId="77777777" w:rsidR="00C959D0" w:rsidRPr="006D2071" w:rsidRDefault="00C959D0" w:rsidP="00961943">
            <w:pPr>
              <w:rPr>
                <w:rFonts w:cstheme="minorHAnsi"/>
                <w:sz w:val="24"/>
                <w:szCs w:val="24"/>
              </w:rPr>
            </w:pPr>
            <w:r w:rsidRPr="006D2071">
              <w:rPr>
                <w:rFonts w:cstheme="minorHAnsi"/>
                <w:sz w:val="24"/>
                <w:szCs w:val="24"/>
              </w:rPr>
              <w:lastRenderedPageBreak/>
              <w:t>Any T, Node positive, metastatic disease</w:t>
            </w:r>
          </w:p>
        </w:tc>
        <w:tc>
          <w:tcPr>
            <w:tcW w:w="3005" w:type="dxa"/>
            <w:tcBorders>
              <w:top w:val="single" w:sz="4" w:space="0" w:color="000000"/>
              <w:left w:val="single" w:sz="4" w:space="0" w:color="000000"/>
              <w:bottom w:val="single" w:sz="4" w:space="0" w:color="000000"/>
              <w:right w:val="single" w:sz="4" w:space="0" w:color="000000"/>
            </w:tcBorders>
            <w:hideMark/>
          </w:tcPr>
          <w:p w14:paraId="67635F01" w14:textId="77777777" w:rsidR="00C959D0" w:rsidRPr="006D2071" w:rsidRDefault="00C959D0" w:rsidP="00961943">
            <w:pPr>
              <w:rPr>
                <w:rFonts w:cstheme="minorHAnsi"/>
                <w:sz w:val="24"/>
                <w:szCs w:val="24"/>
              </w:rPr>
            </w:pPr>
            <w:r w:rsidRPr="006D2071">
              <w:rPr>
                <w:rFonts w:cstheme="minorHAnsi"/>
                <w:sz w:val="24"/>
                <w:szCs w:val="24"/>
              </w:rPr>
              <w:t>Not a candidate</w:t>
            </w:r>
          </w:p>
        </w:tc>
        <w:tc>
          <w:tcPr>
            <w:tcW w:w="3006" w:type="dxa"/>
            <w:tcBorders>
              <w:top w:val="single" w:sz="4" w:space="0" w:color="000000"/>
              <w:left w:val="single" w:sz="4" w:space="0" w:color="000000"/>
              <w:bottom w:val="single" w:sz="4" w:space="0" w:color="000000"/>
              <w:right w:val="single" w:sz="4" w:space="0" w:color="000000"/>
            </w:tcBorders>
            <w:hideMark/>
          </w:tcPr>
          <w:p w14:paraId="6A4086B9" w14:textId="77777777" w:rsidR="00C959D0" w:rsidRPr="006D2071" w:rsidRDefault="00C959D0" w:rsidP="00961943">
            <w:pPr>
              <w:rPr>
                <w:rFonts w:cstheme="minorHAnsi"/>
                <w:sz w:val="24"/>
                <w:szCs w:val="24"/>
              </w:rPr>
            </w:pPr>
            <w:r w:rsidRPr="006D2071">
              <w:rPr>
                <w:rFonts w:cstheme="minorHAnsi"/>
                <w:sz w:val="24"/>
                <w:szCs w:val="24"/>
              </w:rPr>
              <w:t xml:space="preserve">If solitary metastasis is resected and disease free for 2-3 years, MDM discussion </w:t>
            </w:r>
          </w:p>
        </w:tc>
      </w:tr>
    </w:tbl>
    <w:p w14:paraId="0A126591" w14:textId="77777777" w:rsidR="00C959D0" w:rsidRPr="006D2071" w:rsidRDefault="00C959D0" w:rsidP="00C959D0">
      <w:pPr>
        <w:rPr>
          <w:rFonts w:cstheme="minorHAnsi"/>
          <w:sz w:val="24"/>
          <w:szCs w:val="24"/>
        </w:rPr>
      </w:pPr>
    </w:p>
    <w:p w14:paraId="7ECF2524" w14:textId="77777777" w:rsidR="00C959D0" w:rsidRPr="005C1915" w:rsidRDefault="00C959D0" w:rsidP="00C959D0">
      <w:pPr>
        <w:rPr>
          <w:rFonts w:cstheme="minorHAnsi"/>
          <w:b/>
          <w:color w:val="002060"/>
          <w:sz w:val="24"/>
          <w:szCs w:val="24"/>
        </w:rPr>
      </w:pPr>
      <w:r w:rsidRPr="005C1915">
        <w:rPr>
          <w:rFonts w:cstheme="minorHAnsi"/>
          <w:b/>
          <w:color w:val="002060"/>
          <w:sz w:val="24"/>
          <w:szCs w:val="24"/>
        </w:rPr>
        <w:t>Bladder cancer</w:t>
      </w:r>
    </w:p>
    <w:tbl>
      <w:tblPr>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4"/>
        <w:gridCol w:w="3005"/>
        <w:gridCol w:w="3006"/>
      </w:tblGrid>
      <w:tr w:rsidR="00C959D0" w:rsidRPr="006D2071" w14:paraId="0C286FB6" w14:textId="77777777" w:rsidTr="00961943">
        <w:tc>
          <w:tcPr>
            <w:tcW w:w="3005" w:type="dxa"/>
            <w:tcBorders>
              <w:top w:val="single" w:sz="4" w:space="0" w:color="000000"/>
              <w:left w:val="single" w:sz="4" w:space="0" w:color="000000"/>
              <w:bottom w:val="single" w:sz="4" w:space="0" w:color="000000"/>
              <w:right w:val="single" w:sz="4" w:space="0" w:color="000000"/>
            </w:tcBorders>
            <w:hideMark/>
          </w:tcPr>
          <w:p w14:paraId="6BD0E27E" w14:textId="77777777" w:rsidR="00C959D0" w:rsidRPr="006D2071" w:rsidRDefault="00C959D0" w:rsidP="00961943">
            <w:pPr>
              <w:rPr>
                <w:rFonts w:cstheme="minorHAnsi"/>
                <w:b/>
                <w:sz w:val="24"/>
                <w:szCs w:val="24"/>
              </w:rPr>
            </w:pPr>
            <w:r w:rsidRPr="006D2071">
              <w:rPr>
                <w:rFonts w:cstheme="minorHAnsi"/>
                <w:b/>
                <w:sz w:val="24"/>
                <w:szCs w:val="24"/>
              </w:rPr>
              <w:t>Risk/Stage</w:t>
            </w:r>
          </w:p>
        </w:tc>
        <w:tc>
          <w:tcPr>
            <w:tcW w:w="3005" w:type="dxa"/>
            <w:tcBorders>
              <w:top w:val="single" w:sz="4" w:space="0" w:color="000000"/>
              <w:left w:val="single" w:sz="4" w:space="0" w:color="000000"/>
              <w:bottom w:val="single" w:sz="4" w:space="0" w:color="000000"/>
              <w:right w:val="single" w:sz="4" w:space="0" w:color="000000"/>
            </w:tcBorders>
            <w:hideMark/>
          </w:tcPr>
          <w:p w14:paraId="478DE4E6" w14:textId="77777777" w:rsidR="00C959D0" w:rsidRPr="006D2071" w:rsidRDefault="00C959D0" w:rsidP="00961943">
            <w:pPr>
              <w:rPr>
                <w:rFonts w:cstheme="minorHAnsi"/>
                <w:sz w:val="24"/>
                <w:szCs w:val="24"/>
              </w:rPr>
            </w:pPr>
            <w:r w:rsidRPr="006D2071">
              <w:rPr>
                <w:rFonts w:cstheme="minorHAnsi"/>
                <w:b/>
                <w:sz w:val="24"/>
                <w:szCs w:val="24"/>
              </w:rPr>
              <w:t>Recommended time interval to transplant</w:t>
            </w:r>
          </w:p>
        </w:tc>
        <w:tc>
          <w:tcPr>
            <w:tcW w:w="3006" w:type="dxa"/>
            <w:tcBorders>
              <w:top w:val="single" w:sz="4" w:space="0" w:color="000000"/>
              <w:left w:val="single" w:sz="4" w:space="0" w:color="000000"/>
              <w:bottom w:val="single" w:sz="4" w:space="0" w:color="000000"/>
              <w:right w:val="single" w:sz="4" w:space="0" w:color="000000"/>
            </w:tcBorders>
            <w:hideMark/>
          </w:tcPr>
          <w:p w14:paraId="29931F67" w14:textId="77777777" w:rsidR="00C959D0" w:rsidRPr="006D2071" w:rsidRDefault="00C959D0" w:rsidP="00961943">
            <w:pPr>
              <w:rPr>
                <w:rFonts w:cstheme="minorHAnsi"/>
                <w:sz w:val="24"/>
                <w:szCs w:val="24"/>
              </w:rPr>
            </w:pPr>
            <w:r w:rsidRPr="006D2071">
              <w:rPr>
                <w:rFonts w:cstheme="minorHAnsi"/>
                <w:b/>
                <w:sz w:val="24"/>
                <w:szCs w:val="24"/>
              </w:rPr>
              <w:t>Additional considerations</w:t>
            </w:r>
          </w:p>
        </w:tc>
      </w:tr>
      <w:tr w:rsidR="00C959D0" w:rsidRPr="006D2071" w14:paraId="59BCD6FE" w14:textId="77777777" w:rsidTr="00961943">
        <w:tc>
          <w:tcPr>
            <w:tcW w:w="3005" w:type="dxa"/>
            <w:tcBorders>
              <w:top w:val="single" w:sz="4" w:space="0" w:color="000000"/>
              <w:left w:val="single" w:sz="4" w:space="0" w:color="000000"/>
              <w:bottom w:val="single" w:sz="4" w:space="0" w:color="000000"/>
              <w:right w:val="single" w:sz="4" w:space="0" w:color="000000"/>
            </w:tcBorders>
            <w:hideMark/>
          </w:tcPr>
          <w:p w14:paraId="065262ED" w14:textId="77777777" w:rsidR="00C959D0" w:rsidRPr="006D2071" w:rsidRDefault="00C959D0" w:rsidP="00961943">
            <w:pPr>
              <w:rPr>
                <w:rFonts w:cstheme="minorHAnsi"/>
                <w:sz w:val="24"/>
                <w:szCs w:val="24"/>
              </w:rPr>
            </w:pPr>
            <w:r w:rsidRPr="006D2071">
              <w:rPr>
                <w:rFonts w:cstheme="minorHAnsi"/>
                <w:sz w:val="24"/>
                <w:szCs w:val="24"/>
              </w:rPr>
              <w:t>Non-muscle invasive bladder cancer, low and Intermediate risk</w:t>
            </w:r>
          </w:p>
        </w:tc>
        <w:tc>
          <w:tcPr>
            <w:tcW w:w="3005" w:type="dxa"/>
            <w:tcBorders>
              <w:top w:val="single" w:sz="4" w:space="0" w:color="000000"/>
              <w:left w:val="single" w:sz="4" w:space="0" w:color="000000"/>
              <w:bottom w:val="single" w:sz="4" w:space="0" w:color="000000"/>
              <w:right w:val="single" w:sz="4" w:space="0" w:color="000000"/>
            </w:tcBorders>
            <w:hideMark/>
          </w:tcPr>
          <w:p w14:paraId="21A9CE5B" w14:textId="77777777" w:rsidR="00C959D0" w:rsidRPr="006D2071" w:rsidRDefault="00C959D0" w:rsidP="00961943">
            <w:pPr>
              <w:rPr>
                <w:rFonts w:cstheme="minorHAnsi"/>
                <w:sz w:val="24"/>
                <w:szCs w:val="24"/>
              </w:rPr>
            </w:pPr>
            <w:r w:rsidRPr="006D2071">
              <w:rPr>
                <w:rFonts w:cstheme="minorHAnsi"/>
                <w:sz w:val="24"/>
                <w:szCs w:val="24"/>
              </w:rPr>
              <w:t>6 months</w:t>
            </w:r>
          </w:p>
        </w:tc>
        <w:tc>
          <w:tcPr>
            <w:tcW w:w="3006" w:type="dxa"/>
            <w:tcBorders>
              <w:top w:val="single" w:sz="4" w:space="0" w:color="000000"/>
              <w:left w:val="single" w:sz="4" w:space="0" w:color="000000"/>
              <w:bottom w:val="single" w:sz="4" w:space="0" w:color="000000"/>
              <w:right w:val="single" w:sz="4" w:space="0" w:color="000000"/>
            </w:tcBorders>
          </w:tcPr>
          <w:p w14:paraId="0A5E2BA4" w14:textId="77777777" w:rsidR="00C959D0" w:rsidRPr="006D2071" w:rsidRDefault="00C959D0" w:rsidP="00961943">
            <w:pPr>
              <w:rPr>
                <w:rFonts w:cstheme="minorHAnsi"/>
                <w:sz w:val="24"/>
                <w:szCs w:val="24"/>
              </w:rPr>
            </w:pPr>
          </w:p>
        </w:tc>
      </w:tr>
      <w:tr w:rsidR="00C959D0" w:rsidRPr="006D2071" w14:paraId="4892A8F6" w14:textId="77777777" w:rsidTr="00961943">
        <w:tc>
          <w:tcPr>
            <w:tcW w:w="3005" w:type="dxa"/>
            <w:tcBorders>
              <w:top w:val="single" w:sz="4" w:space="0" w:color="000000"/>
              <w:left w:val="single" w:sz="4" w:space="0" w:color="000000"/>
              <w:bottom w:val="single" w:sz="4" w:space="0" w:color="000000"/>
              <w:right w:val="single" w:sz="4" w:space="0" w:color="000000"/>
            </w:tcBorders>
            <w:hideMark/>
          </w:tcPr>
          <w:p w14:paraId="3C90B2C1" w14:textId="77777777" w:rsidR="00C959D0" w:rsidRPr="006D2071" w:rsidRDefault="00C959D0" w:rsidP="00961943">
            <w:pPr>
              <w:rPr>
                <w:rFonts w:cstheme="minorHAnsi"/>
                <w:sz w:val="24"/>
                <w:szCs w:val="24"/>
              </w:rPr>
            </w:pPr>
            <w:r w:rsidRPr="006D2071">
              <w:rPr>
                <w:rFonts w:cstheme="minorHAnsi"/>
                <w:sz w:val="24"/>
                <w:szCs w:val="24"/>
              </w:rPr>
              <w:t>Non-muscle invasive bladder cancer, High Risk</w:t>
            </w:r>
          </w:p>
        </w:tc>
        <w:tc>
          <w:tcPr>
            <w:tcW w:w="3005" w:type="dxa"/>
            <w:tcBorders>
              <w:top w:val="single" w:sz="4" w:space="0" w:color="000000"/>
              <w:left w:val="single" w:sz="4" w:space="0" w:color="000000"/>
              <w:bottom w:val="single" w:sz="4" w:space="0" w:color="000000"/>
              <w:right w:val="single" w:sz="4" w:space="0" w:color="000000"/>
            </w:tcBorders>
            <w:hideMark/>
          </w:tcPr>
          <w:p w14:paraId="16265FD8" w14:textId="77777777" w:rsidR="00C959D0" w:rsidRPr="006D2071" w:rsidRDefault="00C959D0" w:rsidP="00961943">
            <w:pPr>
              <w:rPr>
                <w:rFonts w:cstheme="minorHAnsi"/>
                <w:sz w:val="24"/>
                <w:szCs w:val="24"/>
              </w:rPr>
            </w:pPr>
            <w:r w:rsidRPr="006D2071">
              <w:rPr>
                <w:rFonts w:cstheme="minorHAnsi"/>
                <w:sz w:val="24"/>
                <w:szCs w:val="24"/>
              </w:rPr>
              <w:t>2 years</w:t>
            </w:r>
          </w:p>
        </w:tc>
        <w:tc>
          <w:tcPr>
            <w:tcW w:w="3006" w:type="dxa"/>
            <w:tcBorders>
              <w:top w:val="single" w:sz="4" w:space="0" w:color="000000"/>
              <w:left w:val="single" w:sz="4" w:space="0" w:color="000000"/>
              <w:bottom w:val="single" w:sz="4" w:space="0" w:color="000000"/>
              <w:right w:val="single" w:sz="4" w:space="0" w:color="000000"/>
            </w:tcBorders>
          </w:tcPr>
          <w:p w14:paraId="5937B11E" w14:textId="77777777" w:rsidR="00C959D0" w:rsidRPr="006D2071" w:rsidRDefault="00C959D0" w:rsidP="00961943">
            <w:pPr>
              <w:rPr>
                <w:rFonts w:cstheme="minorHAnsi"/>
                <w:sz w:val="24"/>
                <w:szCs w:val="24"/>
              </w:rPr>
            </w:pPr>
          </w:p>
        </w:tc>
      </w:tr>
      <w:tr w:rsidR="00C959D0" w:rsidRPr="006D2071" w14:paraId="4BE0D5F1" w14:textId="77777777" w:rsidTr="00961943">
        <w:tc>
          <w:tcPr>
            <w:tcW w:w="3005" w:type="dxa"/>
            <w:tcBorders>
              <w:top w:val="single" w:sz="4" w:space="0" w:color="000000"/>
              <w:left w:val="single" w:sz="4" w:space="0" w:color="000000"/>
              <w:bottom w:val="single" w:sz="4" w:space="0" w:color="000000"/>
              <w:right w:val="single" w:sz="4" w:space="0" w:color="000000"/>
            </w:tcBorders>
            <w:hideMark/>
          </w:tcPr>
          <w:p w14:paraId="3D68AFC5" w14:textId="77777777" w:rsidR="00C959D0" w:rsidRPr="006D2071" w:rsidRDefault="00C959D0" w:rsidP="00961943">
            <w:pPr>
              <w:rPr>
                <w:rFonts w:cstheme="minorHAnsi"/>
                <w:sz w:val="24"/>
                <w:szCs w:val="24"/>
              </w:rPr>
            </w:pPr>
            <w:r w:rsidRPr="006D2071">
              <w:rPr>
                <w:rFonts w:cstheme="minorHAnsi"/>
                <w:sz w:val="24"/>
                <w:szCs w:val="24"/>
              </w:rPr>
              <w:t>Muscle invasive, post radical cystectomy</w:t>
            </w:r>
          </w:p>
        </w:tc>
        <w:tc>
          <w:tcPr>
            <w:tcW w:w="3005" w:type="dxa"/>
            <w:tcBorders>
              <w:top w:val="single" w:sz="4" w:space="0" w:color="000000"/>
              <w:left w:val="single" w:sz="4" w:space="0" w:color="000000"/>
              <w:bottom w:val="single" w:sz="4" w:space="0" w:color="000000"/>
              <w:right w:val="single" w:sz="4" w:space="0" w:color="000000"/>
            </w:tcBorders>
            <w:hideMark/>
          </w:tcPr>
          <w:p w14:paraId="742C0090" w14:textId="77777777" w:rsidR="00C959D0" w:rsidRPr="006D2071" w:rsidRDefault="00C959D0" w:rsidP="00961943">
            <w:pPr>
              <w:rPr>
                <w:rFonts w:cstheme="minorHAnsi"/>
                <w:sz w:val="24"/>
                <w:szCs w:val="24"/>
              </w:rPr>
            </w:pPr>
            <w:r w:rsidRPr="006D2071">
              <w:rPr>
                <w:rFonts w:cstheme="minorHAnsi"/>
                <w:sz w:val="24"/>
                <w:szCs w:val="24"/>
              </w:rPr>
              <w:t>2 Years</w:t>
            </w:r>
          </w:p>
        </w:tc>
        <w:tc>
          <w:tcPr>
            <w:tcW w:w="3006" w:type="dxa"/>
            <w:tcBorders>
              <w:top w:val="single" w:sz="4" w:space="0" w:color="000000"/>
              <w:left w:val="single" w:sz="4" w:space="0" w:color="000000"/>
              <w:bottom w:val="single" w:sz="4" w:space="0" w:color="000000"/>
              <w:right w:val="single" w:sz="4" w:space="0" w:color="000000"/>
            </w:tcBorders>
          </w:tcPr>
          <w:p w14:paraId="571E9902" w14:textId="77777777" w:rsidR="00C959D0" w:rsidRPr="006D2071" w:rsidRDefault="00C959D0" w:rsidP="00961943">
            <w:pPr>
              <w:rPr>
                <w:rFonts w:cstheme="minorHAnsi"/>
                <w:sz w:val="24"/>
                <w:szCs w:val="24"/>
              </w:rPr>
            </w:pPr>
          </w:p>
        </w:tc>
      </w:tr>
      <w:tr w:rsidR="00C959D0" w:rsidRPr="006D2071" w14:paraId="6E0CE8F6" w14:textId="77777777" w:rsidTr="00961943">
        <w:tc>
          <w:tcPr>
            <w:tcW w:w="3005" w:type="dxa"/>
            <w:tcBorders>
              <w:top w:val="single" w:sz="4" w:space="0" w:color="000000"/>
              <w:left w:val="single" w:sz="4" w:space="0" w:color="000000"/>
              <w:bottom w:val="single" w:sz="4" w:space="0" w:color="000000"/>
              <w:right w:val="single" w:sz="4" w:space="0" w:color="000000"/>
            </w:tcBorders>
            <w:hideMark/>
          </w:tcPr>
          <w:p w14:paraId="0B7C4DD4" w14:textId="77777777" w:rsidR="00C959D0" w:rsidRPr="006D2071" w:rsidRDefault="00C959D0" w:rsidP="00961943">
            <w:pPr>
              <w:rPr>
                <w:rFonts w:cstheme="minorHAnsi"/>
                <w:sz w:val="24"/>
                <w:szCs w:val="24"/>
              </w:rPr>
            </w:pPr>
            <w:r w:rsidRPr="006D2071">
              <w:rPr>
                <w:rFonts w:cstheme="minorHAnsi"/>
                <w:sz w:val="24"/>
                <w:szCs w:val="24"/>
              </w:rPr>
              <w:t>Muscle invasive, post chemo and radiotherapy</w:t>
            </w:r>
          </w:p>
        </w:tc>
        <w:tc>
          <w:tcPr>
            <w:tcW w:w="3005" w:type="dxa"/>
            <w:tcBorders>
              <w:top w:val="single" w:sz="4" w:space="0" w:color="000000"/>
              <w:left w:val="single" w:sz="4" w:space="0" w:color="000000"/>
              <w:bottom w:val="single" w:sz="4" w:space="0" w:color="000000"/>
              <w:right w:val="single" w:sz="4" w:space="0" w:color="000000"/>
            </w:tcBorders>
            <w:hideMark/>
          </w:tcPr>
          <w:p w14:paraId="3AC2783C" w14:textId="77777777" w:rsidR="00C959D0" w:rsidRPr="006D2071" w:rsidRDefault="00C959D0" w:rsidP="00961943">
            <w:pPr>
              <w:rPr>
                <w:rFonts w:cstheme="minorHAnsi"/>
                <w:sz w:val="24"/>
                <w:szCs w:val="24"/>
              </w:rPr>
            </w:pPr>
            <w:r w:rsidRPr="006D2071">
              <w:rPr>
                <w:rFonts w:cstheme="minorHAnsi"/>
                <w:sz w:val="24"/>
                <w:szCs w:val="24"/>
              </w:rPr>
              <w:t>Not a transplant candidate</w:t>
            </w:r>
          </w:p>
        </w:tc>
        <w:tc>
          <w:tcPr>
            <w:tcW w:w="3006" w:type="dxa"/>
            <w:tcBorders>
              <w:top w:val="single" w:sz="4" w:space="0" w:color="000000"/>
              <w:left w:val="single" w:sz="4" w:space="0" w:color="000000"/>
              <w:bottom w:val="single" w:sz="4" w:space="0" w:color="000000"/>
              <w:right w:val="single" w:sz="4" w:space="0" w:color="000000"/>
            </w:tcBorders>
          </w:tcPr>
          <w:p w14:paraId="518B74CE" w14:textId="77777777" w:rsidR="00C959D0" w:rsidRPr="006D2071" w:rsidRDefault="00C959D0" w:rsidP="00961943">
            <w:pPr>
              <w:rPr>
                <w:rFonts w:cstheme="minorHAnsi"/>
                <w:sz w:val="24"/>
                <w:szCs w:val="24"/>
              </w:rPr>
            </w:pPr>
          </w:p>
        </w:tc>
      </w:tr>
    </w:tbl>
    <w:p w14:paraId="00521550" w14:textId="77777777" w:rsidR="00C959D0" w:rsidRPr="006D2071" w:rsidRDefault="00C959D0" w:rsidP="00C959D0">
      <w:pPr>
        <w:rPr>
          <w:rFonts w:cstheme="minorHAnsi"/>
          <w:sz w:val="24"/>
          <w:szCs w:val="24"/>
        </w:rPr>
      </w:pPr>
    </w:p>
    <w:p w14:paraId="68085FEC" w14:textId="77777777" w:rsidR="00C959D0" w:rsidRPr="005C1915" w:rsidRDefault="00C959D0" w:rsidP="00C959D0">
      <w:pPr>
        <w:rPr>
          <w:rFonts w:cstheme="minorHAnsi"/>
          <w:b/>
          <w:color w:val="002060"/>
          <w:sz w:val="24"/>
          <w:szCs w:val="24"/>
        </w:rPr>
      </w:pPr>
      <w:r w:rsidRPr="005C1915">
        <w:rPr>
          <w:rFonts w:cstheme="minorHAnsi"/>
          <w:b/>
          <w:color w:val="002060"/>
          <w:sz w:val="24"/>
          <w:szCs w:val="24"/>
        </w:rPr>
        <w:t>Gynaecological cancer</w:t>
      </w:r>
    </w:p>
    <w:tbl>
      <w:tblPr>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9"/>
        <w:gridCol w:w="3391"/>
        <w:gridCol w:w="2835"/>
      </w:tblGrid>
      <w:tr w:rsidR="00C959D0" w:rsidRPr="006D2071" w14:paraId="7B9E5837" w14:textId="77777777" w:rsidTr="00961943">
        <w:tc>
          <w:tcPr>
            <w:tcW w:w="2790" w:type="dxa"/>
            <w:tcBorders>
              <w:top w:val="single" w:sz="4" w:space="0" w:color="000000"/>
              <w:left w:val="single" w:sz="4" w:space="0" w:color="000000"/>
              <w:bottom w:val="single" w:sz="4" w:space="0" w:color="000000"/>
              <w:right w:val="single" w:sz="4" w:space="0" w:color="000000"/>
            </w:tcBorders>
            <w:hideMark/>
          </w:tcPr>
          <w:p w14:paraId="2454D3FA" w14:textId="77777777" w:rsidR="00C959D0" w:rsidRPr="006D2071" w:rsidRDefault="00C959D0" w:rsidP="00961943">
            <w:pPr>
              <w:rPr>
                <w:rFonts w:cstheme="minorHAnsi"/>
                <w:b/>
                <w:sz w:val="24"/>
                <w:szCs w:val="24"/>
              </w:rPr>
            </w:pPr>
            <w:r w:rsidRPr="006D2071">
              <w:rPr>
                <w:rFonts w:cstheme="minorHAnsi"/>
                <w:b/>
                <w:sz w:val="24"/>
                <w:szCs w:val="24"/>
              </w:rPr>
              <w:t>5-Year recurrence risk</w:t>
            </w:r>
          </w:p>
        </w:tc>
        <w:tc>
          <w:tcPr>
            <w:tcW w:w="3391" w:type="dxa"/>
            <w:tcBorders>
              <w:top w:val="single" w:sz="4" w:space="0" w:color="000000"/>
              <w:left w:val="single" w:sz="4" w:space="0" w:color="000000"/>
              <w:bottom w:val="single" w:sz="4" w:space="0" w:color="000000"/>
              <w:right w:val="single" w:sz="4" w:space="0" w:color="000000"/>
            </w:tcBorders>
            <w:hideMark/>
          </w:tcPr>
          <w:p w14:paraId="6554ED9E" w14:textId="77777777" w:rsidR="00C959D0" w:rsidRPr="006D2071" w:rsidRDefault="00C959D0" w:rsidP="00961943">
            <w:pPr>
              <w:rPr>
                <w:rFonts w:cstheme="minorHAnsi"/>
                <w:b/>
                <w:sz w:val="24"/>
                <w:szCs w:val="24"/>
              </w:rPr>
            </w:pPr>
            <w:r w:rsidRPr="006D2071">
              <w:rPr>
                <w:rFonts w:cstheme="minorHAnsi"/>
                <w:b/>
                <w:sz w:val="24"/>
                <w:szCs w:val="24"/>
              </w:rPr>
              <w:t xml:space="preserve">     Type and stage</w:t>
            </w:r>
          </w:p>
        </w:tc>
        <w:tc>
          <w:tcPr>
            <w:tcW w:w="2835" w:type="dxa"/>
            <w:tcBorders>
              <w:top w:val="single" w:sz="4" w:space="0" w:color="000000"/>
              <w:left w:val="single" w:sz="4" w:space="0" w:color="000000"/>
              <w:bottom w:val="single" w:sz="4" w:space="0" w:color="000000"/>
              <w:right w:val="single" w:sz="4" w:space="0" w:color="000000"/>
            </w:tcBorders>
            <w:hideMark/>
          </w:tcPr>
          <w:p w14:paraId="062CB166" w14:textId="77777777" w:rsidR="00C959D0" w:rsidRPr="006D2071" w:rsidRDefault="00C959D0" w:rsidP="00961943">
            <w:pPr>
              <w:rPr>
                <w:rFonts w:cstheme="minorHAnsi"/>
                <w:b/>
                <w:sz w:val="24"/>
                <w:szCs w:val="24"/>
              </w:rPr>
            </w:pPr>
            <w:r w:rsidRPr="006D2071">
              <w:rPr>
                <w:rFonts w:cstheme="minorHAnsi"/>
                <w:b/>
                <w:sz w:val="24"/>
                <w:szCs w:val="24"/>
              </w:rPr>
              <w:t>Recommended time interval to transplant</w:t>
            </w:r>
          </w:p>
        </w:tc>
      </w:tr>
      <w:tr w:rsidR="00C959D0" w:rsidRPr="006D2071" w14:paraId="59B08231" w14:textId="77777777" w:rsidTr="00961943">
        <w:trPr>
          <w:trHeight w:val="685"/>
        </w:trPr>
        <w:tc>
          <w:tcPr>
            <w:tcW w:w="2790" w:type="dxa"/>
            <w:vMerge w:val="restart"/>
            <w:tcBorders>
              <w:top w:val="single" w:sz="4" w:space="0" w:color="000000"/>
              <w:left w:val="single" w:sz="4" w:space="0" w:color="000000"/>
              <w:bottom w:val="single" w:sz="4" w:space="0" w:color="000000"/>
              <w:right w:val="single" w:sz="4" w:space="0" w:color="000000"/>
            </w:tcBorders>
            <w:hideMark/>
          </w:tcPr>
          <w:p w14:paraId="04AB1EBC" w14:textId="77777777" w:rsidR="00C959D0" w:rsidRPr="006D2071" w:rsidRDefault="00C959D0" w:rsidP="00961943">
            <w:pPr>
              <w:rPr>
                <w:rFonts w:cstheme="minorHAnsi"/>
                <w:sz w:val="24"/>
                <w:szCs w:val="24"/>
              </w:rPr>
            </w:pPr>
            <w:r w:rsidRPr="006D2071">
              <w:rPr>
                <w:rFonts w:cstheme="minorHAnsi"/>
                <w:sz w:val="24"/>
                <w:szCs w:val="24"/>
              </w:rPr>
              <w:t>Low risk (&lt;5% risk of recurrence)</w:t>
            </w:r>
          </w:p>
        </w:tc>
        <w:tc>
          <w:tcPr>
            <w:tcW w:w="3391" w:type="dxa"/>
            <w:tcBorders>
              <w:top w:val="single" w:sz="4" w:space="0" w:color="000000"/>
              <w:left w:val="single" w:sz="4" w:space="0" w:color="000000"/>
              <w:bottom w:val="single" w:sz="4" w:space="0" w:color="000000"/>
              <w:right w:val="single" w:sz="4" w:space="0" w:color="000000"/>
            </w:tcBorders>
            <w:hideMark/>
          </w:tcPr>
          <w:p w14:paraId="33C6C360" w14:textId="77777777" w:rsidR="00C959D0" w:rsidRPr="006D2071" w:rsidRDefault="00C959D0" w:rsidP="00961943">
            <w:pPr>
              <w:rPr>
                <w:rFonts w:cstheme="minorHAnsi"/>
                <w:sz w:val="24"/>
                <w:szCs w:val="24"/>
              </w:rPr>
            </w:pPr>
            <w:r w:rsidRPr="006D2071">
              <w:rPr>
                <w:rFonts w:cstheme="minorHAnsi"/>
                <w:sz w:val="24"/>
                <w:szCs w:val="24"/>
              </w:rPr>
              <w:t>Stage I/IB, grade 1-2 endometrial cancer without lymph-vascular space invasion</w:t>
            </w:r>
          </w:p>
        </w:tc>
        <w:tc>
          <w:tcPr>
            <w:tcW w:w="2835" w:type="dxa"/>
            <w:vMerge w:val="restart"/>
            <w:tcBorders>
              <w:top w:val="single" w:sz="4" w:space="0" w:color="000000"/>
              <w:left w:val="single" w:sz="4" w:space="0" w:color="000000"/>
              <w:bottom w:val="single" w:sz="4" w:space="0" w:color="000000"/>
              <w:right w:val="single" w:sz="4" w:space="0" w:color="000000"/>
            </w:tcBorders>
          </w:tcPr>
          <w:p w14:paraId="6B4212BD" w14:textId="77777777" w:rsidR="00C959D0" w:rsidRPr="006D2071" w:rsidRDefault="00C959D0" w:rsidP="00961943">
            <w:pPr>
              <w:rPr>
                <w:rFonts w:cstheme="minorHAnsi"/>
                <w:sz w:val="24"/>
                <w:szCs w:val="24"/>
              </w:rPr>
            </w:pPr>
          </w:p>
          <w:p w14:paraId="60D5C6D5" w14:textId="77777777" w:rsidR="00C959D0" w:rsidRPr="006D2071" w:rsidRDefault="00C959D0" w:rsidP="00961943">
            <w:pPr>
              <w:rPr>
                <w:rFonts w:cstheme="minorHAnsi"/>
                <w:sz w:val="24"/>
                <w:szCs w:val="24"/>
              </w:rPr>
            </w:pPr>
          </w:p>
          <w:p w14:paraId="0439C20F" w14:textId="77777777" w:rsidR="00C959D0" w:rsidRPr="006D2071" w:rsidRDefault="00C959D0" w:rsidP="00961943">
            <w:pPr>
              <w:rPr>
                <w:rFonts w:cstheme="minorHAnsi"/>
                <w:sz w:val="24"/>
                <w:szCs w:val="24"/>
              </w:rPr>
            </w:pPr>
          </w:p>
          <w:p w14:paraId="36D66369" w14:textId="77777777" w:rsidR="00C959D0" w:rsidRPr="006D2071" w:rsidRDefault="00C959D0" w:rsidP="00961943">
            <w:pPr>
              <w:rPr>
                <w:rFonts w:cstheme="minorHAnsi"/>
                <w:sz w:val="24"/>
                <w:szCs w:val="24"/>
              </w:rPr>
            </w:pPr>
            <w:r w:rsidRPr="006D2071">
              <w:rPr>
                <w:rFonts w:cstheme="minorHAnsi"/>
                <w:sz w:val="24"/>
                <w:szCs w:val="24"/>
              </w:rPr>
              <w:t>No waiting period after the completion of primary treatment</w:t>
            </w:r>
          </w:p>
        </w:tc>
      </w:tr>
      <w:tr w:rsidR="00C959D0" w:rsidRPr="006D2071" w14:paraId="6537A74B" w14:textId="77777777" w:rsidTr="00961943">
        <w:trPr>
          <w:trHeight w:val="345"/>
        </w:trPr>
        <w:tc>
          <w:tcPr>
            <w:tcW w:w="2790" w:type="dxa"/>
            <w:vMerge/>
            <w:tcBorders>
              <w:top w:val="single" w:sz="4" w:space="0" w:color="000000"/>
              <w:left w:val="single" w:sz="4" w:space="0" w:color="000000"/>
              <w:bottom w:val="single" w:sz="4" w:space="0" w:color="000000"/>
              <w:right w:val="single" w:sz="4" w:space="0" w:color="000000"/>
            </w:tcBorders>
            <w:vAlign w:val="center"/>
            <w:hideMark/>
          </w:tcPr>
          <w:p w14:paraId="637F83D7" w14:textId="77777777" w:rsidR="00C959D0" w:rsidRPr="006D2071" w:rsidRDefault="00C959D0" w:rsidP="00961943">
            <w:pPr>
              <w:spacing w:after="0"/>
              <w:rPr>
                <w:rFonts w:cstheme="minorHAnsi"/>
                <w:sz w:val="24"/>
                <w:szCs w:val="24"/>
              </w:rPr>
            </w:pPr>
          </w:p>
        </w:tc>
        <w:tc>
          <w:tcPr>
            <w:tcW w:w="3391" w:type="dxa"/>
            <w:tcBorders>
              <w:top w:val="single" w:sz="4" w:space="0" w:color="000000"/>
              <w:left w:val="single" w:sz="4" w:space="0" w:color="000000"/>
              <w:bottom w:val="single" w:sz="4" w:space="0" w:color="000000"/>
              <w:right w:val="single" w:sz="4" w:space="0" w:color="000000"/>
            </w:tcBorders>
            <w:hideMark/>
          </w:tcPr>
          <w:p w14:paraId="2DF1BA7B" w14:textId="77777777" w:rsidR="00C959D0" w:rsidRPr="006D2071" w:rsidRDefault="00C959D0" w:rsidP="00961943">
            <w:pPr>
              <w:rPr>
                <w:rFonts w:cstheme="minorHAnsi"/>
                <w:sz w:val="24"/>
                <w:szCs w:val="24"/>
              </w:rPr>
            </w:pPr>
            <w:r w:rsidRPr="006D2071">
              <w:rPr>
                <w:rFonts w:cstheme="minorHAnsi"/>
                <w:sz w:val="24"/>
                <w:szCs w:val="24"/>
              </w:rPr>
              <w:t>Stage IA/IB/IC Grade 1-2 ovarian cancer</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2D8BBF53" w14:textId="77777777" w:rsidR="00C959D0" w:rsidRPr="006D2071" w:rsidRDefault="00C959D0" w:rsidP="00961943">
            <w:pPr>
              <w:spacing w:after="0"/>
              <w:rPr>
                <w:rFonts w:cstheme="minorHAnsi"/>
                <w:sz w:val="24"/>
                <w:szCs w:val="24"/>
              </w:rPr>
            </w:pPr>
          </w:p>
        </w:tc>
      </w:tr>
      <w:tr w:rsidR="00C959D0" w:rsidRPr="006D2071" w14:paraId="2062CC06" w14:textId="77777777" w:rsidTr="00961943">
        <w:trPr>
          <w:trHeight w:val="345"/>
        </w:trPr>
        <w:tc>
          <w:tcPr>
            <w:tcW w:w="2790" w:type="dxa"/>
            <w:vMerge/>
            <w:tcBorders>
              <w:top w:val="single" w:sz="4" w:space="0" w:color="000000"/>
              <w:left w:val="single" w:sz="4" w:space="0" w:color="000000"/>
              <w:bottom w:val="single" w:sz="4" w:space="0" w:color="000000"/>
              <w:right w:val="single" w:sz="4" w:space="0" w:color="000000"/>
            </w:tcBorders>
            <w:vAlign w:val="center"/>
            <w:hideMark/>
          </w:tcPr>
          <w:p w14:paraId="2319E7C7" w14:textId="77777777" w:rsidR="00C959D0" w:rsidRPr="006D2071" w:rsidRDefault="00C959D0" w:rsidP="00961943">
            <w:pPr>
              <w:spacing w:after="0"/>
              <w:rPr>
                <w:rFonts w:cstheme="minorHAnsi"/>
                <w:sz w:val="24"/>
                <w:szCs w:val="24"/>
              </w:rPr>
            </w:pPr>
          </w:p>
        </w:tc>
        <w:tc>
          <w:tcPr>
            <w:tcW w:w="3391" w:type="dxa"/>
            <w:tcBorders>
              <w:top w:val="single" w:sz="4" w:space="0" w:color="000000"/>
              <w:left w:val="single" w:sz="4" w:space="0" w:color="000000"/>
              <w:bottom w:val="single" w:sz="4" w:space="0" w:color="000000"/>
              <w:right w:val="single" w:sz="4" w:space="0" w:color="000000"/>
            </w:tcBorders>
            <w:hideMark/>
          </w:tcPr>
          <w:p w14:paraId="33DD769D" w14:textId="77777777" w:rsidR="00C959D0" w:rsidRPr="006D2071" w:rsidRDefault="00C959D0" w:rsidP="00961943">
            <w:pPr>
              <w:rPr>
                <w:rFonts w:cstheme="minorHAnsi"/>
                <w:sz w:val="24"/>
                <w:szCs w:val="24"/>
              </w:rPr>
            </w:pPr>
            <w:r w:rsidRPr="006D2071">
              <w:rPr>
                <w:rFonts w:cstheme="minorHAnsi"/>
                <w:sz w:val="24"/>
                <w:szCs w:val="24"/>
              </w:rPr>
              <w:t>Stage IA1, IA2 squamous/ adenocarcinoma of the cervix</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521C3D26" w14:textId="77777777" w:rsidR="00C959D0" w:rsidRPr="006D2071" w:rsidRDefault="00C959D0" w:rsidP="00961943">
            <w:pPr>
              <w:spacing w:after="0"/>
              <w:rPr>
                <w:rFonts w:cstheme="minorHAnsi"/>
                <w:sz w:val="24"/>
                <w:szCs w:val="24"/>
              </w:rPr>
            </w:pPr>
          </w:p>
        </w:tc>
      </w:tr>
      <w:tr w:rsidR="00C959D0" w:rsidRPr="006D2071" w14:paraId="5F3FEC8C" w14:textId="77777777" w:rsidTr="00961943">
        <w:trPr>
          <w:trHeight w:val="515"/>
        </w:trPr>
        <w:tc>
          <w:tcPr>
            <w:tcW w:w="2790" w:type="dxa"/>
            <w:vMerge w:val="restart"/>
            <w:tcBorders>
              <w:top w:val="single" w:sz="4" w:space="0" w:color="000000"/>
              <w:left w:val="single" w:sz="4" w:space="0" w:color="000000"/>
              <w:bottom w:val="single" w:sz="4" w:space="0" w:color="000000"/>
              <w:right w:val="single" w:sz="4" w:space="0" w:color="000000"/>
            </w:tcBorders>
            <w:hideMark/>
          </w:tcPr>
          <w:p w14:paraId="0939C744" w14:textId="77777777" w:rsidR="00C959D0" w:rsidRPr="006D2071" w:rsidRDefault="00C959D0" w:rsidP="00961943">
            <w:pPr>
              <w:rPr>
                <w:rFonts w:cstheme="minorHAnsi"/>
                <w:sz w:val="24"/>
                <w:szCs w:val="24"/>
              </w:rPr>
            </w:pPr>
            <w:r w:rsidRPr="006D2071">
              <w:rPr>
                <w:rFonts w:cstheme="minorHAnsi"/>
                <w:sz w:val="24"/>
                <w:szCs w:val="24"/>
              </w:rPr>
              <w:t>Intermediate Risk</w:t>
            </w:r>
          </w:p>
          <w:p w14:paraId="089E4151" w14:textId="77777777" w:rsidR="00C959D0" w:rsidRPr="006D2071" w:rsidRDefault="00C959D0" w:rsidP="00961943">
            <w:pPr>
              <w:rPr>
                <w:rFonts w:cstheme="minorHAnsi"/>
                <w:sz w:val="24"/>
                <w:szCs w:val="24"/>
              </w:rPr>
            </w:pPr>
            <w:r w:rsidRPr="006D2071">
              <w:rPr>
                <w:rFonts w:cstheme="minorHAnsi"/>
                <w:sz w:val="24"/>
                <w:szCs w:val="24"/>
              </w:rPr>
              <w:t>5-15% risk of recurrence</w:t>
            </w:r>
          </w:p>
        </w:tc>
        <w:tc>
          <w:tcPr>
            <w:tcW w:w="3391" w:type="dxa"/>
            <w:tcBorders>
              <w:top w:val="single" w:sz="4" w:space="0" w:color="000000"/>
              <w:left w:val="single" w:sz="4" w:space="0" w:color="000000"/>
              <w:bottom w:val="single" w:sz="4" w:space="0" w:color="000000"/>
              <w:right w:val="single" w:sz="4" w:space="0" w:color="000000"/>
            </w:tcBorders>
          </w:tcPr>
          <w:p w14:paraId="3A3C6A16" w14:textId="77777777" w:rsidR="00C959D0" w:rsidRPr="006D2071" w:rsidRDefault="00C959D0" w:rsidP="00961943">
            <w:pPr>
              <w:rPr>
                <w:rFonts w:cstheme="minorHAnsi"/>
                <w:sz w:val="24"/>
                <w:szCs w:val="24"/>
              </w:rPr>
            </w:pPr>
            <w:r w:rsidRPr="006D2071">
              <w:rPr>
                <w:rFonts w:cstheme="minorHAnsi"/>
                <w:sz w:val="24"/>
                <w:szCs w:val="24"/>
              </w:rPr>
              <w:t>Stage II endometrial cancer</w:t>
            </w:r>
          </w:p>
          <w:p w14:paraId="3ABEA788" w14:textId="77777777" w:rsidR="00C959D0" w:rsidRPr="006D2071" w:rsidRDefault="00C959D0" w:rsidP="00961943">
            <w:pPr>
              <w:rPr>
                <w:rFonts w:cstheme="minorHAnsi"/>
                <w:sz w:val="24"/>
                <w:szCs w:val="24"/>
              </w:rPr>
            </w:pPr>
          </w:p>
        </w:tc>
        <w:tc>
          <w:tcPr>
            <w:tcW w:w="2835" w:type="dxa"/>
            <w:vMerge w:val="restart"/>
            <w:tcBorders>
              <w:top w:val="single" w:sz="4" w:space="0" w:color="000000"/>
              <w:left w:val="single" w:sz="4" w:space="0" w:color="000000"/>
              <w:bottom w:val="single" w:sz="4" w:space="0" w:color="000000"/>
              <w:right w:val="single" w:sz="4" w:space="0" w:color="000000"/>
            </w:tcBorders>
          </w:tcPr>
          <w:p w14:paraId="3F2DE892" w14:textId="77777777" w:rsidR="00C959D0" w:rsidRPr="006D2071" w:rsidRDefault="00C959D0" w:rsidP="00961943">
            <w:pPr>
              <w:rPr>
                <w:rFonts w:cstheme="minorHAnsi"/>
                <w:sz w:val="24"/>
                <w:szCs w:val="24"/>
              </w:rPr>
            </w:pPr>
            <w:r w:rsidRPr="006D2071">
              <w:rPr>
                <w:rFonts w:cstheme="minorHAnsi"/>
                <w:sz w:val="24"/>
                <w:szCs w:val="24"/>
              </w:rPr>
              <w:t>2-3 years after completion of treatment</w:t>
            </w:r>
          </w:p>
        </w:tc>
      </w:tr>
      <w:tr w:rsidR="00C959D0" w:rsidRPr="006D2071" w14:paraId="52247B6D" w14:textId="77777777" w:rsidTr="00961943">
        <w:trPr>
          <w:trHeight w:val="515"/>
        </w:trPr>
        <w:tc>
          <w:tcPr>
            <w:tcW w:w="2790" w:type="dxa"/>
            <w:vMerge/>
            <w:tcBorders>
              <w:top w:val="single" w:sz="4" w:space="0" w:color="000000"/>
              <w:left w:val="single" w:sz="4" w:space="0" w:color="000000"/>
              <w:bottom w:val="single" w:sz="4" w:space="0" w:color="000000"/>
              <w:right w:val="single" w:sz="4" w:space="0" w:color="000000"/>
            </w:tcBorders>
            <w:vAlign w:val="center"/>
            <w:hideMark/>
          </w:tcPr>
          <w:p w14:paraId="3262A9F3" w14:textId="77777777" w:rsidR="00C959D0" w:rsidRPr="006D2071" w:rsidRDefault="00C959D0" w:rsidP="00961943">
            <w:pPr>
              <w:spacing w:after="0"/>
              <w:rPr>
                <w:rFonts w:cstheme="minorHAnsi"/>
                <w:sz w:val="24"/>
                <w:szCs w:val="24"/>
              </w:rPr>
            </w:pPr>
          </w:p>
        </w:tc>
        <w:tc>
          <w:tcPr>
            <w:tcW w:w="3391" w:type="dxa"/>
            <w:tcBorders>
              <w:top w:val="single" w:sz="4" w:space="0" w:color="000000"/>
              <w:left w:val="single" w:sz="4" w:space="0" w:color="000000"/>
              <w:bottom w:val="single" w:sz="4" w:space="0" w:color="000000"/>
              <w:right w:val="single" w:sz="4" w:space="0" w:color="000000"/>
            </w:tcBorders>
            <w:hideMark/>
          </w:tcPr>
          <w:p w14:paraId="0E1EA91F" w14:textId="77777777" w:rsidR="00C959D0" w:rsidRPr="006D2071" w:rsidRDefault="00C959D0" w:rsidP="00961943">
            <w:pPr>
              <w:rPr>
                <w:rFonts w:cstheme="minorHAnsi"/>
                <w:sz w:val="24"/>
                <w:szCs w:val="24"/>
              </w:rPr>
            </w:pPr>
            <w:r w:rsidRPr="006D2071">
              <w:rPr>
                <w:rFonts w:cstheme="minorHAnsi"/>
                <w:sz w:val="24"/>
                <w:szCs w:val="24"/>
              </w:rPr>
              <w:t>Stage IB squamous/adenocarcinoma of the cervix</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494AB592" w14:textId="77777777" w:rsidR="00C959D0" w:rsidRPr="006D2071" w:rsidRDefault="00C959D0" w:rsidP="00961943">
            <w:pPr>
              <w:spacing w:after="0"/>
              <w:rPr>
                <w:rFonts w:cstheme="minorHAnsi"/>
                <w:sz w:val="24"/>
                <w:szCs w:val="24"/>
              </w:rPr>
            </w:pPr>
          </w:p>
        </w:tc>
      </w:tr>
      <w:tr w:rsidR="00C959D0" w:rsidRPr="006D2071" w14:paraId="0E6AC85D" w14:textId="77777777" w:rsidTr="00961943">
        <w:trPr>
          <w:trHeight w:val="685"/>
        </w:trPr>
        <w:tc>
          <w:tcPr>
            <w:tcW w:w="2790" w:type="dxa"/>
            <w:vMerge w:val="restart"/>
            <w:tcBorders>
              <w:top w:val="single" w:sz="4" w:space="0" w:color="000000"/>
              <w:left w:val="single" w:sz="4" w:space="0" w:color="000000"/>
              <w:bottom w:val="single" w:sz="4" w:space="0" w:color="000000"/>
              <w:right w:val="single" w:sz="4" w:space="0" w:color="000000"/>
            </w:tcBorders>
            <w:hideMark/>
          </w:tcPr>
          <w:p w14:paraId="5C9FF92F" w14:textId="77777777" w:rsidR="00C959D0" w:rsidRPr="006D2071" w:rsidRDefault="00C959D0" w:rsidP="00961943">
            <w:pPr>
              <w:rPr>
                <w:rFonts w:cstheme="minorHAnsi"/>
                <w:sz w:val="24"/>
                <w:szCs w:val="24"/>
              </w:rPr>
            </w:pPr>
            <w:r w:rsidRPr="006D2071">
              <w:rPr>
                <w:rFonts w:cstheme="minorHAnsi"/>
                <w:sz w:val="24"/>
                <w:szCs w:val="24"/>
              </w:rPr>
              <w:lastRenderedPageBreak/>
              <w:t>High Risk</w:t>
            </w:r>
          </w:p>
          <w:p w14:paraId="00277232" w14:textId="77777777" w:rsidR="00C959D0" w:rsidRPr="006D2071" w:rsidRDefault="00C959D0" w:rsidP="00961943">
            <w:pPr>
              <w:rPr>
                <w:rFonts w:cstheme="minorHAnsi"/>
                <w:sz w:val="24"/>
                <w:szCs w:val="24"/>
              </w:rPr>
            </w:pPr>
            <w:r w:rsidRPr="006D2071">
              <w:rPr>
                <w:rFonts w:cstheme="minorHAnsi"/>
                <w:sz w:val="24"/>
                <w:szCs w:val="24"/>
              </w:rPr>
              <w:t>&gt;30% risk of recurrence</w:t>
            </w:r>
          </w:p>
        </w:tc>
        <w:tc>
          <w:tcPr>
            <w:tcW w:w="3391" w:type="dxa"/>
            <w:tcBorders>
              <w:top w:val="single" w:sz="4" w:space="0" w:color="000000"/>
              <w:left w:val="single" w:sz="4" w:space="0" w:color="000000"/>
              <w:bottom w:val="single" w:sz="4" w:space="0" w:color="000000"/>
              <w:right w:val="single" w:sz="4" w:space="0" w:color="000000"/>
            </w:tcBorders>
            <w:hideMark/>
          </w:tcPr>
          <w:p w14:paraId="04548DC8" w14:textId="77777777" w:rsidR="00C959D0" w:rsidRPr="006D2071" w:rsidRDefault="00C959D0" w:rsidP="00961943">
            <w:pPr>
              <w:rPr>
                <w:rFonts w:cstheme="minorHAnsi"/>
                <w:sz w:val="24"/>
                <w:szCs w:val="24"/>
              </w:rPr>
            </w:pPr>
            <w:r w:rsidRPr="006D2071">
              <w:rPr>
                <w:rFonts w:cstheme="minorHAnsi"/>
                <w:sz w:val="24"/>
                <w:szCs w:val="24"/>
              </w:rPr>
              <w:t>Endometrial cancer: Aggressive/high-grade histology, any stage</w:t>
            </w:r>
          </w:p>
          <w:p w14:paraId="3ACFEC2D" w14:textId="77777777" w:rsidR="00C959D0" w:rsidRPr="006D2071" w:rsidRDefault="00C959D0" w:rsidP="00961943">
            <w:pPr>
              <w:rPr>
                <w:rFonts w:cstheme="minorHAnsi"/>
                <w:sz w:val="24"/>
                <w:szCs w:val="24"/>
              </w:rPr>
            </w:pPr>
            <w:r w:rsidRPr="006D2071">
              <w:rPr>
                <w:rFonts w:cstheme="minorHAnsi"/>
                <w:sz w:val="24"/>
                <w:szCs w:val="24"/>
              </w:rPr>
              <w:t>Stage III endometrial cancer</w:t>
            </w:r>
          </w:p>
        </w:tc>
        <w:tc>
          <w:tcPr>
            <w:tcW w:w="2835" w:type="dxa"/>
            <w:vMerge w:val="restart"/>
            <w:tcBorders>
              <w:top w:val="single" w:sz="4" w:space="0" w:color="000000"/>
              <w:left w:val="single" w:sz="4" w:space="0" w:color="000000"/>
              <w:bottom w:val="single" w:sz="4" w:space="0" w:color="000000"/>
              <w:right w:val="single" w:sz="4" w:space="0" w:color="000000"/>
            </w:tcBorders>
          </w:tcPr>
          <w:p w14:paraId="55A45D3D" w14:textId="77777777" w:rsidR="00C959D0" w:rsidRPr="006D2071" w:rsidRDefault="00C959D0" w:rsidP="00961943">
            <w:pPr>
              <w:rPr>
                <w:rFonts w:cstheme="minorHAnsi"/>
                <w:sz w:val="24"/>
                <w:szCs w:val="24"/>
              </w:rPr>
            </w:pPr>
            <w:r w:rsidRPr="006D2071">
              <w:rPr>
                <w:rFonts w:cstheme="minorHAnsi"/>
                <w:sz w:val="24"/>
                <w:szCs w:val="24"/>
              </w:rPr>
              <w:t>5 years after completion of treatment</w:t>
            </w:r>
          </w:p>
          <w:p w14:paraId="1D99CD85" w14:textId="77777777" w:rsidR="00C959D0" w:rsidRPr="006D2071" w:rsidRDefault="00C959D0" w:rsidP="00961943">
            <w:pPr>
              <w:rPr>
                <w:rFonts w:cstheme="minorHAnsi"/>
                <w:sz w:val="24"/>
                <w:szCs w:val="24"/>
              </w:rPr>
            </w:pPr>
          </w:p>
          <w:p w14:paraId="306E316C" w14:textId="77777777" w:rsidR="00C959D0" w:rsidRPr="006D2071" w:rsidRDefault="00C959D0" w:rsidP="00961943">
            <w:pPr>
              <w:rPr>
                <w:rFonts w:cstheme="minorHAnsi"/>
                <w:sz w:val="24"/>
                <w:szCs w:val="24"/>
              </w:rPr>
            </w:pPr>
            <w:r w:rsidRPr="006D2071">
              <w:rPr>
                <w:rFonts w:cstheme="minorHAnsi"/>
                <w:sz w:val="24"/>
                <w:szCs w:val="24"/>
              </w:rPr>
              <w:t>5 years after completion of treatment</w:t>
            </w:r>
          </w:p>
        </w:tc>
      </w:tr>
      <w:tr w:rsidR="00C959D0" w:rsidRPr="006D2071" w14:paraId="3894C4AF" w14:textId="77777777" w:rsidTr="00961943">
        <w:trPr>
          <w:trHeight w:val="685"/>
        </w:trPr>
        <w:tc>
          <w:tcPr>
            <w:tcW w:w="2790" w:type="dxa"/>
            <w:vMerge/>
            <w:tcBorders>
              <w:top w:val="single" w:sz="4" w:space="0" w:color="000000"/>
              <w:left w:val="single" w:sz="4" w:space="0" w:color="000000"/>
              <w:bottom w:val="single" w:sz="4" w:space="0" w:color="000000"/>
              <w:right w:val="single" w:sz="4" w:space="0" w:color="000000"/>
            </w:tcBorders>
            <w:vAlign w:val="center"/>
            <w:hideMark/>
          </w:tcPr>
          <w:p w14:paraId="3195603E" w14:textId="77777777" w:rsidR="00C959D0" w:rsidRPr="006D2071" w:rsidRDefault="00C959D0" w:rsidP="00961943">
            <w:pPr>
              <w:spacing w:after="0"/>
              <w:rPr>
                <w:rFonts w:cstheme="minorHAnsi"/>
                <w:sz w:val="24"/>
                <w:szCs w:val="24"/>
              </w:rPr>
            </w:pPr>
          </w:p>
        </w:tc>
        <w:tc>
          <w:tcPr>
            <w:tcW w:w="3391" w:type="dxa"/>
            <w:tcBorders>
              <w:top w:val="single" w:sz="4" w:space="0" w:color="000000"/>
              <w:left w:val="single" w:sz="4" w:space="0" w:color="000000"/>
              <w:bottom w:val="single" w:sz="4" w:space="0" w:color="000000"/>
              <w:right w:val="single" w:sz="4" w:space="0" w:color="000000"/>
            </w:tcBorders>
            <w:hideMark/>
          </w:tcPr>
          <w:p w14:paraId="4A99F6CD" w14:textId="77777777" w:rsidR="00C959D0" w:rsidRPr="006D2071" w:rsidRDefault="00C959D0" w:rsidP="00961943">
            <w:pPr>
              <w:rPr>
                <w:rFonts w:cstheme="minorHAnsi"/>
                <w:sz w:val="24"/>
                <w:szCs w:val="24"/>
              </w:rPr>
            </w:pPr>
            <w:r w:rsidRPr="006D2071">
              <w:rPr>
                <w:rFonts w:cstheme="minorHAnsi"/>
                <w:sz w:val="24"/>
                <w:szCs w:val="24"/>
              </w:rPr>
              <w:t>Stage II/III Ovarian cancer</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0F9DECDE" w14:textId="77777777" w:rsidR="00C959D0" w:rsidRPr="006D2071" w:rsidRDefault="00C959D0" w:rsidP="00961943">
            <w:pPr>
              <w:spacing w:after="0"/>
              <w:rPr>
                <w:rFonts w:cstheme="minorHAnsi"/>
                <w:sz w:val="24"/>
                <w:szCs w:val="24"/>
              </w:rPr>
            </w:pPr>
          </w:p>
        </w:tc>
      </w:tr>
      <w:tr w:rsidR="00C959D0" w:rsidRPr="006D2071" w14:paraId="730E295E" w14:textId="77777777" w:rsidTr="00961943">
        <w:trPr>
          <w:trHeight w:val="685"/>
        </w:trPr>
        <w:tc>
          <w:tcPr>
            <w:tcW w:w="2790" w:type="dxa"/>
            <w:vMerge/>
            <w:tcBorders>
              <w:top w:val="single" w:sz="4" w:space="0" w:color="000000"/>
              <w:left w:val="single" w:sz="4" w:space="0" w:color="000000"/>
              <w:bottom w:val="single" w:sz="4" w:space="0" w:color="000000"/>
              <w:right w:val="single" w:sz="4" w:space="0" w:color="000000"/>
            </w:tcBorders>
            <w:vAlign w:val="center"/>
            <w:hideMark/>
          </w:tcPr>
          <w:p w14:paraId="3E4A44B7" w14:textId="77777777" w:rsidR="00C959D0" w:rsidRPr="006D2071" w:rsidRDefault="00C959D0" w:rsidP="00961943">
            <w:pPr>
              <w:spacing w:after="0"/>
              <w:rPr>
                <w:rFonts w:cstheme="minorHAnsi"/>
                <w:sz w:val="24"/>
                <w:szCs w:val="24"/>
              </w:rPr>
            </w:pPr>
          </w:p>
        </w:tc>
        <w:tc>
          <w:tcPr>
            <w:tcW w:w="3391" w:type="dxa"/>
            <w:tcBorders>
              <w:top w:val="single" w:sz="4" w:space="0" w:color="000000"/>
              <w:left w:val="single" w:sz="4" w:space="0" w:color="000000"/>
              <w:bottom w:val="single" w:sz="4" w:space="0" w:color="000000"/>
              <w:right w:val="single" w:sz="4" w:space="0" w:color="000000"/>
            </w:tcBorders>
            <w:hideMark/>
          </w:tcPr>
          <w:p w14:paraId="423B03D6" w14:textId="77777777" w:rsidR="00C959D0" w:rsidRPr="006D2071" w:rsidRDefault="00C959D0" w:rsidP="00961943">
            <w:pPr>
              <w:rPr>
                <w:rFonts w:cstheme="minorHAnsi"/>
                <w:sz w:val="24"/>
                <w:szCs w:val="24"/>
              </w:rPr>
            </w:pPr>
            <w:r w:rsidRPr="006D2071">
              <w:rPr>
                <w:rFonts w:cstheme="minorHAnsi"/>
                <w:sz w:val="24"/>
                <w:szCs w:val="24"/>
              </w:rPr>
              <w:t>Stage II/III Squamous cell/adenocarcinoma of cervix</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6D0EFD09" w14:textId="77777777" w:rsidR="00C959D0" w:rsidRPr="006D2071" w:rsidRDefault="00C959D0" w:rsidP="00961943">
            <w:pPr>
              <w:spacing w:after="0"/>
              <w:rPr>
                <w:rFonts w:cstheme="minorHAnsi"/>
                <w:sz w:val="24"/>
                <w:szCs w:val="24"/>
              </w:rPr>
            </w:pPr>
          </w:p>
        </w:tc>
      </w:tr>
      <w:tr w:rsidR="00C959D0" w:rsidRPr="006D2071" w14:paraId="55A0C0E4" w14:textId="77777777" w:rsidTr="00961943">
        <w:trPr>
          <w:trHeight w:val="685"/>
        </w:trPr>
        <w:tc>
          <w:tcPr>
            <w:tcW w:w="2790" w:type="dxa"/>
            <w:vMerge w:val="restart"/>
            <w:tcBorders>
              <w:top w:val="single" w:sz="4" w:space="0" w:color="000000"/>
              <w:left w:val="single" w:sz="4" w:space="0" w:color="000000"/>
              <w:bottom w:val="single" w:sz="4" w:space="0" w:color="000000"/>
              <w:right w:val="single" w:sz="4" w:space="0" w:color="000000"/>
            </w:tcBorders>
            <w:hideMark/>
          </w:tcPr>
          <w:p w14:paraId="0155F8F5" w14:textId="77777777" w:rsidR="00C959D0" w:rsidRPr="006D2071" w:rsidRDefault="00C959D0" w:rsidP="00961943">
            <w:pPr>
              <w:rPr>
                <w:rFonts w:cstheme="minorHAnsi"/>
                <w:sz w:val="24"/>
                <w:szCs w:val="24"/>
              </w:rPr>
            </w:pPr>
            <w:r w:rsidRPr="006D2071">
              <w:rPr>
                <w:rFonts w:cstheme="minorHAnsi"/>
                <w:sz w:val="24"/>
                <w:szCs w:val="24"/>
              </w:rPr>
              <w:t>Very high risk</w:t>
            </w:r>
          </w:p>
        </w:tc>
        <w:tc>
          <w:tcPr>
            <w:tcW w:w="3391" w:type="dxa"/>
            <w:tcBorders>
              <w:top w:val="single" w:sz="4" w:space="0" w:color="000000"/>
              <w:left w:val="single" w:sz="4" w:space="0" w:color="000000"/>
              <w:bottom w:val="single" w:sz="4" w:space="0" w:color="000000"/>
              <w:right w:val="single" w:sz="4" w:space="0" w:color="000000"/>
            </w:tcBorders>
            <w:hideMark/>
          </w:tcPr>
          <w:p w14:paraId="5A3C8194" w14:textId="77777777" w:rsidR="00C959D0" w:rsidRPr="006D2071" w:rsidRDefault="00C959D0" w:rsidP="00961943">
            <w:pPr>
              <w:rPr>
                <w:rFonts w:cstheme="minorHAnsi"/>
                <w:sz w:val="24"/>
                <w:szCs w:val="24"/>
              </w:rPr>
            </w:pPr>
            <w:r w:rsidRPr="006D2071">
              <w:rPr>
                <w:rFonts w:cstheme="minorHAnsi"/>
                <w:sz w:val="24"/>
                <w:szCs w:val="24"/>
              </w:rPr>
              <w:t>Stage IV endometrial cancer (all grades)</w:t>
            </w:r>
          </w:p>
          <w:p w14:paraId="5E43FBE8" w14:textId="77777777" w:rsidR="00C959D0" w:rsidRPr="006D2071" w:rsidRDefault="00C959D0" w:rsidP="00961943">
            <w:pPr>
              <w:rPr>
                <w:rFonts w:cstheme="minorHAnsi"/>
                <w:sz w:val="24"/>
                <w:szCs w:val="24"/>
              </w:rPr>
            </w:pPr>
            <w:r w:rsidRPr="006D2071">
              <w:rPr>
                <w:rFonts w:cstheme="minorHAnsi"/>
                <w:sz w:val="24"/>
                <w:szCs w:val="24"/>
              </w:rPr>
              <w:t>Recurrent or metastatic endometrial cancer</w:t>
            </w:r>
          </w:p>
        </w:tc>
        <w:tc>
          <w:tcPr>
            <w:tcW w:w="2835" w:type="dxa"/>
            <w:vMerge w:val="restart"/>
            <w:tcBorders>
              <w:top w:val="single" w:sz="4" w:space="0" w:color="000000"/>
              <w:left w:val="single" w:sz="4" w:space="0" w:color="000000"/>
              <w:bottom w:val="single" w:sz="4" w:space="0" w:color="000000"/>
              <w:right w:val="single" w:sz="4" w:space="0" w:color="000000"/>
            </w:tcBorders>
          </w:tcPr>
          <w:p w14:paraId="7123E339" w14:textId="77777777" w:rsidR="00C959D0" w:rsidRPr="006D2071" w:rsidRDefault="00C959D0" w:rsidP="00961943">
            <w:pPr>
              <w:rPr>
                <w:rFonts w:cstheme="minorHAnsi"/>
                <w:sz w:val="24"/>
                <w:szCs w:val="24"/>
              </w:rPr>
            </w:pPr>
          </w:p>
          <w:p w14:paraId="08D0E9C9" w14:textId="77777777" w:rsidR="00C959D0" w:rsidRPr="006D2071" w:rsidRDefault="00C959D0" w:rsidP="00961943">
            <w:pPr>
              <w:rPr>
                <w:rFonts w:cstheme="minorHAnsi"/>
                <w:sz w:val="24"/>
                <w:szCs w:val="24"/>
              </w:rPr>
            </w:pPr>
          </w:p>
          <w:p w14:paraId="51A58309" w14:textId="77777777" w:rsidR="00C959D0" w:rsidRPr="006D2071" w:rsidRDefault="00C959D0" w:rsidP="00961943">
            <w:pPr>
              <w:rPr>
                <w:rFonts w:cstheme="minorHAnsi"/>
                <w:sz w:val="24"/>
                <w:szCs w:val="24"/>
              </w:rPr>
            </w:pPr>
            <w:r w:rsidRPr="006D2071">
              <w:rPr>
                <w:rFonts w:cstheme="minorHAnsi"/>
                <w:sz w:val="24"/>
                <w:szCs w:val="24"/>
              </w:rPr>
              <w:t xml:space="preserve"> Not a transplant candidate</w:t>
            </w:r>
          </w:p>
        </w:tc>
      </w:tr>
      <w:tr w:rsidR="00C959D0" w:rsidRPr="006D2071" w14:paraId="69897B6F" w14:textId="77777777" w:rsidTr="00961943">
        <w:trPr>
          <w:trHeight w:val="515"/>
        </w:trPr>
        <w:tc>
          <w:tcPr>
            <w:tcW w:w="2790" w:type="dxa"/>
            <w:vMerge/>
            <w:tcBorders>
              <w:top w:val="single" w:sz="4" w:space="0" w:color="000000"/>
              <w:left w:val="single" w:sz="4" w:space="0" w:color="000000"/>
              <w:bottom w:val="single" w:sz="4" w:space="0" w:color="000000"/>
              <w:right w:val="single" w:sz="4" w:space="0" w:color="000000"/>
            </w:tcBorders>
            <w:vAlign w:val="center"/>
            <w:hideMark/>
          </w:tcPr>
          <w:p w14:paraId="1314D5C1" w14:textId="77777777" w:rsidR="00C959D0" w:rsidRPr="006D2071" w:rsidRDefault="00C959D0" w:rsidP="00961943">
            <w:pPr>
              <w:spacing w:after="0"/>
              <w:rPr>
                <w:rFonts w:cstheme="minorHAnsi"/>
                <w:sz w:val="24"/>
                <w:szCs w:val="24"/>
              </w:rPr>
            </w:pPr>
          </w:p>
        </w:tc>
        <w:tc>
          <w:tcPr>
            <w:tcW w:w="3391" w:type="dxa"/>
            <w:tcBorders>
              <w:top w:val="single" w:sz="4" w:space="0" w:color="000000"/>
              <w:left w:val="single" w:sz="4" w:space="0" w:color="000000"/>
              <w:bottom w:val="single" w:sz="4" w:space="0" w:color="000000"/>
              <w:right w:val="single" w:sz="4" w:space="0" w:color="000000"/>
            </w:tcBorders>
            <w:hideMark/>
          </w:tcPr>
          <w:p w14:paraId="2159084F" w14:textId="77777777" w:rsidR="00C959D0" w:rsidRPr="006D2071" w:rsidRDefault="00C959D0" w:rsidP="00961943">
            <w:pPr>
              <w:rPr>
                <w:rFonts w:cstheme="minorHAnsi"/>
                <w:sz w:val="24"/>
                <w:szCs w:val="24"/>
              </w:rPr>
            </w:pPr>
            <w:r w:rsidRPr="006D2071">
              <w:rPr>
                <w:rFonts w:cstheme="minorHAnsi"/>
                <w:sz w:val="24"/>
                <w:szCs w:val="24"/>
              </w:rPr>
              <w:t>Stage IV Ovarian cancer (any grade)</w:t>
            </w:r>
          </w:p>
          <w:p w14:paraId="6FA08534" w14:textId="77777777" w:rsidR="00C959D0" w:rsidRPr="006D2071" w:rsidRDefault="00C959D0" w:rsidP="00961943">
            <w:pPr>
              <w:rPr>
                <w:rFonts w:cstheme="minorHAnsi"/>
                <w:sz w:val="24"/>
                <w:szCs w:val="24"/>
              </w:rPr>
            </w:pPr>
            <w:r w:rsidRPr="006D2071">
              <w:rPr>
                <w:rFonts w:cstheme="minorHAnsi"/>
                <w:sz w:val="24"/>
                <w:szCs w:val="24"/>
              </w:rPr>
              <w:t>Recurrent or metastatic Ovarian Cancer</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7C23192B" w14:textId="77777777" w:rsidR="00C959D0" w:rsidRPr="006D2071" w:rsidRDefault="00C959D0" w:rsidP="00961943">
            <w:pPr>
              <w:spacing w:after="0"/>
              <w:rPr>
                <w:rFonts w:cstheme="minorHAnsi"/>
                <w:sz w:val="24"/>
                <w:szCs w:val="24"/>
              </w:rPr>
            </w:pPr>
          </w:p>
        </w:tc>
      </w:tr>
      <w:tr w:rsidR="00C959D0" w:rsidRPr="006D2071" w14:paraId="5106B7CE" w14:textId="77777777" w:rsidTr="00961943">
        <w:trPr>
          <w:trHeight w:val="515"/>
        </w:trPr>
        <w:tc>
          <w:tcPr>
            <w:tcW w:w="2790" w:type="dxa"/>
            <w:vMerge/>
            <w:tcBorders>
              <w:top w:val="single" w:sz="4" w:space="0" w:color="000000"/>
              <w:left w:val="single" w:sz="4" w:space="0" w:color="000000"/>
              <w:bottom w:val="single" w:sz="4" w:space="0" w:color="000000"/>
              <w:right w:val="single" w:sz="4" w:space="0" w:color="000000"/>
            </w:tcBorders>
            <w:vAlign w:val="center"/>
            <w:hideMark/>
          </w:tcPr>
          <w:p w14:paraId="5A51320E" w14:textId="77777777" w:rsidR="00C959D0" w:rsidRPr="006D2071" w:rsidRDefault="00C959D0" w:rsidP="00961943">
            <w:pPr>
              <w:spacing w:after="0"/>
              <w:rPr>
                <w:rFonts w:cstheme="minorHAnsi"/>
                <w:sz w:val="24"/>
                <w:szCs w:val="24"/>
              </w:rPr>
            </w:pPr>
          </w:p>
        </w:tc>
        <w:tc>
          <w:tcPr>
            <w:tcW w:w="3391" w:type="dxa"/>
            <w:tcBorders>
              <w:top w:val="single" w:sz="4" w:space="0" w:color="000000"/>
              <w:left w:val="single" w:sz="4" w:space="0" w:color="000000"/>
              <w:bottom w:val="single" w:sz="4" w:space="0" w:color="000000"/>
              <w:right w:val="single" w:sz="4" w:space="0" w:color="000000"/>
            </w:tcBorders>
            <w:hideMark/>
          </w:tcPr>
          <w:p w14:paraId="77FA3007" w14:textId="77777777" w:rsidR="00C959D0" w:rsidRPr="006D2071" w:rsidRDefault="00C959D0" w:rsidP="00961943">
            <w:pPr>
              <w:rPr>
                <w:rFonts w:cstheme="minorHAnsi"/>
                <w:sz w:val="24"/>
                <w:szCs w:val="24"/>
              </w:rPr>
            </w:pPr>
            <w:r w:rsidRPr="006D2071">
              <w:rPr>
                <w:rFonts w:cstheme="minorHAnsi"/>
                <w:sz w:val="24"/>
                <w:szCs w:val="24"/>
              </w:rPr>
              <w:t>Stage VI Cervical cancer</w:t>
            </w:r>
          </w:p>
          <w:p w14:paraId="541180CA" w14:textId="77777777" w:rsidR="00C959D0" w:rsidRPr="006D2071" w:rsidRDefault="00C959D0" w:rsidP="00961943">
            <w:pPr>
              <w:rPr>
                <w:rFonts w:cstheme="minorHAnsi"/>
                <w:sz w:val="24"/>
                <w:szCs w:val="24"/>
              </w:rPr>
            </w:pPr>
            <w:r w:rsidRPr="006D2071">
              <w:rPr>
                <w:rFonts w:cstheme="minorHAnsi"/>
                <w:sz w:val="24"/>
                <w:szCs w:val="24"/>
              </w:rPr>
              <w:t>Recurrent or metastatic cervical cancer</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3E86B626" w14:textId="77777777" w:rsidR="00C959D0" w:rsidRPr="006D2071" w:rsidRDefault="00C959D0" w:rsidP="00961943">
            <w:pPr>
              <w:spacing w:after="0"/>
              <w:rPr>
                <w:rFonts w:cstheme="minorHAnsi"/>
                <w:sz w:val="24"/>
                <w:szCs w:val="24"/>
              </w:rPr>
            </w:pPr>
          </w:p>
        </w:tc>
      </w:tr>
    </w:tbl>
    <w:p w14:paraId="09C6382D" w14:textId="77777777" w:rsidR="00C959D0" w:rsidRPr="006D2071" w:rsidRDefault="00C959D0" w:rsidP="00C959D0">
      <w:pPr>
        <w:rPr>
          <w:rFonts w:cstheme="minorHAnsi"/>
          <w:sz w:val="24"/>
          <w:szCs w:val="24"/>
        </w:rPr>
      </w:pPr>
    </w:p>
    <w:p w14:paraId="1465BDC3" w14:textId="77777777" w:rsidR="00C959D0" w:rsidRPr="005C1915" w:rsidRDefault="00C959D0" w:rsidP="00C959D0">
      <w:pPr>
        <w:rPr>
          <w:rFonts w:cstheme="minorHAnsi"/>
          <w:b/>
          <w:color w:val="002060"/>
          <w:sz w:val="24"/>
          <w:szCs w:val="24"/>
        </w:rPr>
      </w:pPr>
      <w:r w:rsidRPr="005C1915">
        <w:rPr>
          <w:rFonts w:cstheme="minorHAnsi"/>
          <w:b/>
          <w:color w:val="002060"/>
          <w:sz w:val="24"/>
          <w:szCs w:val="24"/>
        </w:rPr>
        <w:t>Lung cancer</w:t>
      </w: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3"/>
        <w:gridCol w:w="6057"/>
      </w:tblGrid>
      <w:tr w:rsidR="00C959D0" w:rsidRPr="006D2071" w14:paraId="7C5A868C" w14:textId="77777777" w:rsidTr="00961943">
        <w:trPr>
          <w:trHeight w:val="609"/>
        </w:trPr>
        <w:tc>
          <w:tcPr>
            <w:tcW w:w="3005" w:type="dxa"/>
            <w:tcBorders>
              <w:top w:val="single" w:sz="4" w:space="0" w:color="000000"/>
              <w:left w:val="single" w:sz="4" w:space="0" w:color="000000"/>
              <w:bottom w:val="single" w:sz="4" w:space="0" w:color="000000"/>
              <w:right w:val="single" w:sz="4" w:space="0" w:color="000000"/>
            </w:tcBorders>
            <w:hideMark/>
          </w:tcPr>
          <w:p w14:paraId="1E2DAA26" w14:textId="77777777" w:rsidR="00C959D0" w:rsidRPr="006D2071" w:rsidRDefault="00C959D0" w:rsidP="00961943">
            <w:pPr>
              <w:rPr>
                <w:rFonts w:cstheme="minorHAnsi"/>
                <w:b/>
                <w:sz w:val="24"/>
                <w:szCs w:val="24"/>
              </w:rPr>
            </w:pPr>
            <w:r w:rsidRPr="006D2071">
              <w:rPr>
                <w:rFonts w:cstheme="minorHAnsi"/>
                <w:b/>
                <w:sz w:val="24"/>
                <w:szCs w:val="24"/>
              </w:rPr>
              <w:t>Stage</w:t>
            </w:r>
          </w:p>
        </w:tc>
        <w:tc>
          <w:tcPr>
            <w:tcW w:w="6062" w:type="dxa"/>
            <w:tcBorders>
              <w:top w:val="single" w:sz="4" w:space="0" w:color="000000"/>
              <w:left w:val="single" w:sz="4" w:space="0" w:color="000000"/>
              <w:bottom w:val="single" w:sz="4" w:space="0" w:color="000000"/>
              <w:right w:val="single" w:sz="4" w:space="0" w:color="000000"/>
            </w:tcBorders>
          </w:tcPr>
          <w:p w14:paraId="58E53225" w14:textId="77777777" w:rsidR="00C959D0" w:rsidRPr="006D2071" w:rsidRDefault="00C959D0" w:rsidP="00961943">
            <w:pPr>
              <w:rPr>
                <w:rFonts w:cstheme="minorHAnsi"/>
                <w:b/>
                <w:sz w:val="24"/>
                <w:szCs w:val="24"/>
              </w:rPr>
            </w:pPr>
            <w:r w:rsidRPr="006D2071">
              <w:rPr>
                <w:rFonts w:cstheme="minorHAnsi"/>
                <w:b/>
                <w:sz w:val="24"/>
                <w:szCs w:val="24"/>
              </w:rPr>
              <w:t>Recommended wait time</w:t>
            </w:r>
          </w:p>
          <w:p w14:paraId="6BC19413" w14:textId="77777777" w:rsidR="00C959D0" w:rsidRPr="006D2071" w:rsidRDefault="00C959D0" w:rsidP="00961943">
            <w:pPr>
              <w:rPr>
                <w:rFonts w:cstheme="minorHAnsi"/>
                <w:b/>
                <w:sz w:val="24"/>
                <w:szCs w:val="24"/>
              </w:rPr>
            </w:pPr>
          </w:p>
        </w:tc>
      </w:tr>
      <w:tr w:rsidR="00C959D0" w:rsidRPr="006D2071" w14:paraId="4BC5CBBF" w14:textId="77777777" w:rsidTr="00961943">
        <w:tc>
          <w:tcPr>
            <w:tcW w:w="3005" w:type="dxa"/>
            <w:tcBorders>
              <w:top w:val="single" w:sz="4" w:space="0" w:color="000000"/>
              <w:left w:val="single" w:sz="4" w:space="0" w:color="000000"/>
              <w:bottom w:val="single" w:sz="4" w:space="0" w:color="000000"/>
              <w:right w:val="single" w:sz="4" w:space="0" w:color="000000"/>
            </w:tcBorders>
            <w:hideMark/>
          </w:tcPr>
          <w:p w14:paraId="37E8AD8F" w14:textId="77777777" w:rsidR="00C959D0" w:rsidRPr="006D2071" w:rsidRDefault="00C959D0" w:rsidP="00961943">
            <w:pPr>
              <w:rPr>
                <w:rFonts w:cstheme="minorHAnsi"/>
                <w:sz w:val="24"/>
                <w:szCs w:val="24"/>
              </w:rPr>
            </w:pPr>
            <w:r w:rsidRPr="006D2071">
              <w:rPr>
                <w:rFonts w:cstheme="minorHAnsi"/>
                <w:sz w:val="24"/>
                <w:szCs w:val="24"/>
              </w:rPr>
              <w:t>I (T1a, 1b, N0)</w:t>
            </w:r>
          </w:p>
        </w:tc>
        <w:tc>
          <w:tcPr>
            <w:tcW w:w="6062" w:type="dxa"/>
            <w:tcBorders>
              <w:top w:val="single" w:sz="4" w:space="0" w:color="000000"/>
              <w:left w:val="single" w:sz="4" w:space="0" w:color="000000"/>
              <w:bottom w:val="single" w:sz="4" w:space="0" w:color="000000"/>
              <w:right w:val="single" w:sz="4" w:space="0" w:color="000000"/>
            </w:tcBorders>
            <w:hideMark/>
          </w:tcPr>
          <w:p w14:paraId="745714CC" w14:textId="77777777" w:rsidR="00C959D0" w:rsidRPr="006D2071" w:rsidRDefault="00C959D0" w:rsidP="00961943">
            <w:pPr>
              <w:rPr>
                <w:rFonts w:cstheme="minorHAnsi"/>
                <w:sz w:val="24"/>
                <w:szCs w:val="24"/>
              </w:rPr>
            </w:pPr>
            <w:r w:rsidRPr="006D2071">
              <w:rPr>
                <w:rFonts w:cstheme="minorHAnsi"/>
                <w:sz w:val="24"/>
                <w:szCs w:val="24"/>
              </w:rPr>
              <w:t>≥3 years</w:t>
            </w:r>
          </w:p>
        </w:tc>
      </w:tr>
      <w:tr w:rsidR="00C959D0" w:rsidRPr="006D2071" w14:paraId="4FED9281" w14:textId="77777777" w:rsidTr="00961943">
        <w:tc>
          <w:tcPr>
            <w:tcW w:w="3005" w:type="dxa"/>
            <w:tcBorders>
              <w:top w:val="single" w:sz="4" w:space="0" w:color="000000"/>
              <w:left w:val="single" w:sz="4" w:space="0" w:color="000000"/>
              <w:bottom w:val="single" w:sz="4" w:space="0" w:color="000000"/>
              <w:right w:val="single" w:sz="4" w:space="0" w:color="000000"/>
            </w:tcBorders>
            <w:hideMark/>
          </w:tcPr>
          <w:p w14:paraId="7E263F1E" w14:textId="77777777" w:rsidR="00C959D0" w:rsidRPr="006D2071" w:rsidRDefault="00C959D0" w:rsidP="00961943">
            <w:pPr>
              <w:rPr>
                <w:rFonts w:cstheme="minorHAnsi"/>
                <w:sz w:val="24"/>
                <w:szCs w:val="24"/>
              </w:rPr>
            </w:pPr>
            <w:r w:rsidRPr="006D2071">
              <w:rPr>
                <w:rFonts w:cstheme="minorHAnsi"/>
                <w:sz w:val="24"/>
                <w:szCs w:val="24"/>
              </w:rPr>
              <w:t>I (T1c N0)</w:t>
            </w:r>
          </w:p>
        </w:tc>
        <w:tc>
          <w:tcPr>
            <w:tcW w:w="6062" w:type="dxa"/>
            <w:tcBorders>
              <w:top w:val="single" w:sz="4" w:space="0" w:color="000000"/>
              <w:left w:val="single" w:sz="4" w:space="0" w:color="000000"/>
              <w:bottom w:val="single" w:sz="4" w:space="0" w:color="000000"/>
              <w:right w:val="single" w:sz="4" w:space="0" w:color="000000"/>
            </w:tcBorders>
            <w:hideMark/>
          </w:tcPr>
          <w:p w14:paraId="1C504ED9" w14:textId="77777777" w:rsidR="00C959D0" w:rsidRPr="006D2071" w:rsidRDefault="00C959D0" w:rsidP="00961943">
            <w:pPr>
              <w:rPr>
                <w:rFonts w:cstheme="minorHAnsi"/>
                <w:sz w:val="24"/>
                <w:szCs w:val="24"/>
              </w:rPr>
            </w:pPr>
            <w:r w:rsidRPr="006D2071">
              <w:rPr>
                <w:rFonts w:cstheme="minorHAnsi"/>
                <w:sz w:val="24"/>
                <w:szCs w:val="24"/>
              </w:rPr>
              <w:t>3-5 years</w:t>
            </w:r>
          </w:p>
        </w:tc>
      </w:tr>
      <w:tr w:rsidR="00C959D0" w:rsidRPr="006D2071" w14:paraId="34CD4680" w14:textId="77777777" w:rsidTr="00961943">
        <w:tc>
          <w:tcPr>
            <w:tcW w:w="3005" w:type="dxa"/>
            <w:tcBorders>
              <w:top w:val="single" w:sz="4" w:space="0" w:color="000000"/>
              <w:left w:val="single" w:sz="4" w:space="0" w:color="000000"/>
              <w:bottom w:val="single" w:sz="4" w:space="0" w:color="000000"/>
              <w:right w:val="single" w:sz="4" w:space="0" w:color="000000"/>
            </w:tcBorders>
            <w:hideMark/>
          </w:tcPr>
          <w:p w14:paraId="681A3720" w14:textId="77777777" w:rsidR="00C959D0" w:rsidRPr="006D2071" w:rsidRDefault="00C959D0" w:rsidP="00961943">
            <w:pPr>
              <w:rPr>
                <w:rFonts w:cstheme="minorHAnsi"/>
                <w:sz w:val="24"/>
                <w:szCs w:val="24"/>
              </w:rPr>
            </w:pPr>
            <w:r w:rsidRPr="006D2071">
              <w:rPr>
                <w:rFonts w:cstheme="minorHAnsi"/>
                <w:sz w:val="24"/>
                <w:szCs w:val="24"/>
              </w:rPr>
              <w:t>IB (T2aN0)</w:t>
            </w:r>
          </w:p>
        </w:tc>
        <w:tc>
          <w:tcPr>
            <w:tcW w:w="6062" w:type="dxa"/>
            <w:tcBorders>
              <w:top w:val="single" w:sz="4" w:space="0" w:color="000000"/>
              <w:left w:val="single" w:sz="4" w:space="0" w:color="000000"/>
              <w:bottom w:val="single" w:sz="4" w:space="0" w:color="000000"/>
              <w:right w:val="single" w:sz="4" w:space="0" w:color="000000"/>
            </w:tcBorders>
            <w:hideMark/>
          </w:tcPr>
          <w:p w14:paraId="50C1C5C7" w14:textId="77777777" w:rsidR="00C959D0" w:rsidRPr="006D2071" w:rsidRDefault="00C959D0" w:rsidP="00961943">
            <w:pPr>
              <w:rPr>
                <w:rFonts w:cstheme="minorHAnsi"/>
                <w:sz w:val="24"/>
                <w:szCs w:val="24"/>
              </w:rPr>
            </w:pPr>
            <w:r w:rsidRPr="006D2071">
              <w:rPr>
                <w:rFonts w:cstheme="minorHAnsi"/>
                <w:sz w:val="24"/>
                <w:szCs w:val="24"/>
              </w:rPr>
              <w:t>5 years</w:t>
            </w:r>
          </w:p>
        </w:tc>
      </w:tr>
      <w:tr w:rsidR="00C959D0" w:rsidRPr="006D2071" w14:paraId="4D3B269C" w14:textId="77777777" w:rsidTr="00961943">
        <w:tc>
          <w:tcPr>
            <w:tcW w:w="3005" w:type="dxa"/>
            <w:tcBorders>
              <w:top w:val="single" w:sz="4" w:space="0" w:color="000000"/>
              <w:left w:val="single" w:sz="4" w:space="0" w:color="000000"/>
              <w:bottom w:val="single" w:sz="4" w:space="0" w:color="000000"/>
              <w:right w:val="single" w:sz="4" w:space="0" w:color="000000"/>
            </w:tcBorders>
            <w:hideMark/>
          </w:tcPr>
          <w:p w14:paraId="421662DC" w14:textId="77777777" w:rsidR="00C959D0" w:rsidRPr="006D2071" w:rsidRDefault="00C959D0" w:rsidP="00961943">
            <w:pPr>
              <w:rPr>
                <w:rFonts w:cstheme="minorHAnsi"/>
                <w:sz w:val="24"/>
                <w:szCs w:val="24"/>
              </w:rPr>
            </w:pPr>
            <w:r w:rsidRPr="006D2071">
              <w:rPr>
                <w:rFonts w:cstheme="minorHAnsi"/>
                <w:sz w:val="24"/>
                <w:szCs w:val="24"/>
              </w:rPr>
              <w:t>IIA (T2bN0)</w:t>
            </w:r>
          </w:p>
        </w:tc>
        <w:tc>
          <w:tcPr>
            <w:tcW w:w="6062" w:type="dxa"/>
            <w:tcBorders>
              <w:top w:val="single" w:sz="4" w:space="0" w:color="000000"/>
              <w:left w:val="single" w:sz="4" w:space="0" w:color="000000"/>
              <w:bottom w:val="single" w:sz="4" w:space="0" w:color="000000"/>
              <w:right w:val="single" w:sz="4" w:space="0" w:color="000000"/>
            </w:tcBorders>
            <w:hideMark/>
          </w:tcPr>
          <w:p w14:paraId="6FDB5AE6" w14:textId="77777777" w:rsidR="00C959D0" w:rsidRPr="006D2071" w:rsidRDefault="00C959D0" w:rsidP="00961943">
            <w:pPr>
              <w:rPr>
                <w:rFonts w:cstheme="minorHAnsi"/>
                <w:sz w:val="24"/>
                <w:szCs w:val="24"/>
              </w:rPr>
            </w:pPr>
            <w:r w:rsidRPr="006D2071">
              <w:rPr>
                <w:rFonts w:cstheme="minorHAnsi"/>
                <w:sz w:val="24"/>
                <w:szCs w:val="24"/>
              </w:rPr>
              <w:t>5 years</w:t>
            </w:r>
          </w:p>
        </w:tc>
      </w:tr>
      <w:tr w:rsidR="00C959D0" w:rsidRPr="006D2071" w14:paraId="779BDDC3" w14:textId="77777777" w:rsidTr="00961943">
        <w:tc>
          <w:tcPr>
            <w:tcW w:w="3005" w:type="dxa"/>
            <w:tcBorders>
              <w:top w:val="single" w:sz="4" w:space="0" w:color="000000"/>
              <w:left w:val="single" w:sz="4" w:space="0" w:color="000000"/>
              <w:bottom w:val="single" w:sz="4" w:space="0" w:color="000000"/>
              <w:right w:val="single" w:sz="4" w:space="0" w:color="000000"/>
            </w:tcBorders>
            <w:hideMark/>
          </w:tcPr>
          <w:p w14:paraId="71450EA7" w14:textId="77777777" w:rsidR="00C959D0" w:rsidRPr="006D2071" w:rsidRDefault="00C959D0" w:rsidP="00961943">
            <w:pPr>
              <w:rPr>
                <w:rFonts w:cstheme="minorHAnsi"/>
                <w:sz w:val="24"/>
                <w:szCs w:val="24"/>
              </w:rPr>
            </w:pPr>
            <w:r w:rsidRPr="006D2071">
              <w:rPr>
                <w:rFonts w:cstheme="minorHAnsi"/>
                <w:sz w:val="24"/>
                <w:szCs w:val="24"/>
              </w:rPr>
              <w:t>IIB (T3N0)</w:t>
            </w:r>
          </w:p>
        </w:tc>
        <w:tc>
          <w:tcPr>
            <w:tcW w:w="6062" w:type="dxa"/>
            <w:tcBorders>
              <w:top w:val="single" w:sz="4" w:space="0" w:color="000000"/>
              <w:left w:val="single" w:sz="4" w:space="0" w:color="000000"/>
              <w:bottom w:val="single" w:sz="4" w:space="0" w:color="000000"/>
              <w:right w:val="single" w:sz="4" w:space="0" w:color="000000"/>
            </w:tcBorders>
            <w:hideMark/>
          </w:tcPr>
          <w:p w14:paraId="015010A9" w14:textId="77777777" w:rsidR="00C959D0" w:rsidRPr="006D2071" w:rsidRDefault="00C959D0" w:rsidP="00961943">
            <w:pPr>
              <w:rPr>
                <w:rFonts w:cstheme="minorHAnsi"/>
                <w:sz w:val="24"/>
                <w:szCs w:val="24"/>
              </w:rPr>
            </w:pPr>
            <w:r w:rsidRPr="006D2071">
              <w:rPr>
                <w:rFonts w:cstheme="minorHAnsi"/>
                <w:sz w:val="24"/>
                <w:szCs w:val="24"/>
              </w:rPr>
              <w:t>5 years</w:t>
            </w:r>
          </w:p>
        </w:tc>
      </w:tr>
      <w:tr w:rsidR="00C959D0" w:rsidRPr="006D2071" w14:paraId="2B0B24B2" w14:textId="77777777" w:rsidTr="00961943">
        <w:tc>
          <w:tcPr>
            <w:tcW w:w="3005" w:type="dxa"/>
            <w:tcBorders>
              <w:top w:val="single" w:sz="4" w:space="0" w:color="000000"/>
              <w:left w:val="single" w:sz="4" w:space="0" w:color="000000"/>
              <w:bottom w:val="single" w:sz="4" w:space="0" w:color="000000"/>
              <w:right w:val="single" w:sz="4" w:space="0" w:color="000000"/>
            </w:tcBorders>
            <w:hideMark/>
          </w:tcPr>
          <w:p w14:paraId="31976ECA" w14:textId="77777777" w:rsidR="00C959D0" w:rsidRPr="006D2071" w:rsidRDefault="00C959D0" w:rsidP="00961943">
            <w:pPr>
              <w:rPr>
                <w:rFonts w:cstheme="minorHAnsi"/>
                <w:sz w:val="24"/>
                <w:szCs w:val="24"/>
              </w:rPr>
            </w:pPr>
            <w:r w:rsidRPr="006D2071">
              <w:rPr>
                <w:rFonts w:cstheme="minorHAnsi"/>
                <w:sz w:val="24"/>
                <w:szCs w:val="24"/>
              </w:rPr>
              <w:t>IIIA</w:t>
            </w:r>
          </w:p>
        </w:tc>
        <w:tc>
          <w:tcPr>
            <w:tcW w:w="6062" w:type="dxa"/>
            <w:tcBorders>
              <w:top w:val="single" w:sz="4" w:space="0" w:color="000000"/>
              <w:left w:val="single" w:sz="4" w:space="0" w:color="000000"/>
              <w:bottom w:val="single" w:sz="4" w:space="0" w:color="000000"/>
              <w:right w:val="single" w:sz="4" w:space="0" w:color="000000"/>
            </w:tcBorders>
            <w:hideMark/>
          </w:tcPr>
          <w:p w14:paraId="1981FE72" w14:textId="77777777" w:rsidR="00C959D0" w:rsidRPr="006D2071" w:rsidRDefault="00C959D0" w:rsidP="00961943">
            <w:pPr>
              <w:rPr>
                <w:rFonts w:cstheme="minorHAnsi"/>
                <w:sz w:val="24"/>
                <w:szCs w:val="24"/>
              </w:rPr>
            </w:pPr>
            <w:r w:rsidRPr="006D2071">
              <w:rPr>
                <w:rFonts w:cstheme="minorHAnsi"/>
                <w:sz w:val="24"/>
                <w:szCs w:val="24"/>
              </w:rPr>
              <w:t>5 years</w:t>
            </w:r>
          </w:p>
        </w:tc>
      </w:tr>
      <w:tr w:rsidR="00C959D0" w:rsidRPr="006D2071" w14:paraId="06B1D110" w14:textId="77777777" w:rsidTr="00961943">
        <w:tc>
          <w:tcPr>
            <w:tcW w:w="3005" w:type="dxa"/>
            <w:tcBorders>
              <w:top w:val="single" w:sz="4" w:space="0" w:color="000000"/>
              <w:left w:val="single" w:sz="4" w:space="0" w:color="000000"/>
              <w:bottom w:val="single" w:sz="4" w:space="0" w:color="000000"/>
              <w:right w:val="single" w:sz="4" w:space="0" w:color="000000"/>
            </w:tcBorders>
            <w:hideMark/>
          </w:tcPr>
          <w:p w14:paraId="658B8CDD" w14:textId="77777777" w:rsidR="00C959D0" w:rsidRPr="006D2071" w:rsidRDefault="00C959D0" w:rsidP="00961943">
            <w:pPr>
              <w:rPr>
                <w:rFonts w:cstheme="minorHAnsi"/>
                <w:sz w:val="24"/>
                <w:szCs w:val="24"/>
              </w:rPr>
            </w:pPr>
            <w:r w:rsidRPr="006D2071">
              <w:rPr>
                <w:rFonts w:cstheme="minorHAnsi"/>
                <w:sz w:val="24"/>
                <w:szCs w:val="24"/>
              </w:rPr>
              <w:t>Stage IIIB and higher</w:t>
            </w:r>
          </w:p>
        </w:tc>
        <w:tc>
          <w:tcPr>
            <w:tcW w:w="6062" w:type="dxa"/>
            <w:tcBorders>
              <w:top w:val="single" w:sz="4" w:space="0" w:color="000000"/>
              <w:left w:val="single" w:sz="4" w:space="0" w:color="000000"/>
              <w:bottom w:val="single" w:sz="4" w:space="0" w:color="000000"/>
              <w:right w:val="single" w:sz="4" w:space="0" w:color="000000"/>
            </w:tcBorders>
            <w:hideMark/>
          </w:tcPr>
          <w:p w14:paraId="35A7F013" w14:textId="77777777" w:rsidR="00C959D0" w:rsidRPr="006D2071" w:rsidRDefault="00C959D0" w:rsidP="00961943">
            <w:pPr>
              <w:rPr>
                <w:rFonts w:cstheme="minorHAnsi"/>
                <w:sz w:val="24"/>
                <w:szCs w:val="24"/>
              </w:rPr>
            </w:pPr>
            <w:r w:rsidRPr="006D2071">
              <w:rPr>
                <w:rFonts w:cstheme="minorHAnsi"/>
                <w:sz w:val="24"/>
                <w:szCs w:val="24"/>
              </w:rPr>
              <w:t>Not a transplant candidate</w:t>
            </w:r>
          </w:p>
        </w:tc>
      </w:tr>
    </w:tbl>
    <w:p w14:paraId="6EAE0337" w14:textId="77777777" w:rsidR="00C959D0" w:rsidRPr="006D2071" w:rsidRDefault="00C959D0" w:rsidP="00C959D0">
      <w:pPr>
        <w:jc w:val="both"/>
        <w:rPr>
          <w:rFonts w:cstheme="minorHAnsi"/>
          <w:sz w:val="24"/>
          <w:szCs w:val="24"/>
        </w:rPr>
      </w:pPr>
    </w:p>
    <w:p w14:paraId="60F58BA4" w14:textId="77777777" w:rsidR="00C959D0" w:rsidRPr="00713B3E" w:rsidRDefault="00C959D0" w:rsidP="0082468C">
      <w:pPr>
        <w:pBdr>
          <w:top w:val="nil"/>
          <w:left w:val="nil"/>
          <w:bottom w:val="nil"/>
          <w:right w:val="nil"/>
          <w:between w:val="nil"/>
        </w:pBdr>
        <w:spacing w:after="0" w:line="276" w:lineRule="auto"/>
        <w:ind w:left="720" w:hanging="720"/>
        <w:jc w:val="both"/>
        <w:rPr>
          <w:rFonts w:cstheme="minorHAnsi"/>
          <w:color w:val="000000"/>
        </w:rPr>
      </w:pPr>
    </w:p>
    <w:p w14:paraId="7A4788CF" w14:textId="77777777" w:rsidR="00EB6556" w:rsidRPr="00C15982" w:rsidRDefault="00EB6556" w:rsidP="00C446C7">
      <w:pPr>
        <w:pStyle w:val="Heading3"/>
        <w:rPr>
          <w:highlight w:val="white"/>
        </w:rPr>
      </w:pPr>
      <w:bookmarkStart w:id="137" w:name="_Toc128330042"/>
      <w:r>
        <w:rPr>
          <w:highlight w:val="white"/>
        </w:rPr>
        <w:lastRenderedPageBreak/>
        <w:t>9.1.3</w:t>
      </w:r>
      <w:r>
        <w:rPr>
          <w:highlight w:val="white"/>
        </w:rPr>
        <w:tab/>
      </w:r>
      <w:r w:rsidRPr="00C15982">
        <w:rPr>
          <w:highlight w:val="white"/>
        </w:rPr>
        <w:t>Skin cancer</w:t>
      </w:r>
      <w:r>
        <w:rPr>
          <w:highlight w:val="white"/>
        </w:rPr>
        <w:t>s</w:t>
      </w:r>
      <w:bookmarkEnd w:id="137"/>
      <w:r w:rsidRPr="00C15982">
        <w:rPr>
          <w:highlight w:val="white"/>
        </w:rPr>
        <w:t xml:space="preserve"> </w:t>
      </w:r>
    </w:p>
    <w:p w14:paraId="25586802" w14:textId="77777777" w:rsidR="00EB6556" w:rsidRDefault="00EB6556" w:rsidP="00C50D4D">
      <w:pPr>
        <w:spacing w:line="276" w:lineRule="auto"/>
        <w:jc w:val="both"/>
        <w:rPr>
          <w:rFonts w:cstheme="minorHAnsi"/>
        </w:rPr>
      </w:pPr>
      <w:r w:rsidRPr="00713B3E">
        <w:rPr>
          <w:rFonts w:cstheme="minorHAnsi"/>
        </w:rPr>
        <w:t>The recommendations that are in place in ‘BTS post-operative care in the kidney transplant recipient’ should be continued for the management of skin disorders in the failing graft</w:t>
      </w:r>
      <w:r>
        <w:rPr>
          <w:rFonts w:cstheme="minorHAnsi"/>
          <w:vertAlign w:val="superscript"/>
        </w:rPr>
        <w:t>6</w:t>
      </w:r>
      <w:r w:rsidRPr="00713B3E">
        <w:rPr>
          <w:rFonts w:cstheme="minorHAnsi"/>
        </w:rPr>
        <w:t xml:space="preserve">. </w:t>
      </w:r>
    </w:p>
    <w:p w14:paraId="4B9AE37A" w14:textId="77777777" w:rsidR="00EB6556" w:rsidRPr="00F232BE" w:rsidRDefault="00EB6556" w:rsidP="00C446C7">
      <w:pPr>
        <w:pStyle w:val="Heading3"/>
      </w:pPr>
      <w:bookmarkStart w:id="138" w:name="_Toc128330043"/>
      <w:r w:rsidRPr="0016371F">
        <w:t>Statements of Recommendation</w:t>
      </w:r>
      <w:bookmarkEnd w:id="138"/>
    </w:p>
    <w:p w14:paraId="1015957E" w14:textId="77777777" w:rsidR="00EB6556" w:rsidRPr="00713B3E" w:rsidRDefault="00EB6556" w:rsidP="0082468C">
      <w:r w:rsidRPr="00713B3E">
        <w:t>We recommend</w:t>
      </w:r>
      <w:r>
        <w:t xml:space="preserve"> that:</w:t>
      </w:r>
    </w:p>
    <w:p w14:paraId="2714B1E8" w14:textId="77777777" w:rsidR="00EB6556" w:rsidRPr="00713B3E" w:rsidRDefault="00EB6556">
      <w:pPr>
        <w:numPr>
          <w:ilvl w:val="0"/>
          <w:numId w:val="23"/>
        </w:numPr>
        <w:spacing w:line="276" w:lineRule="auto"/>
        <w:ind w:left="714" w:hanging="357"/>
        <w:jc w:val="both"/>
        <w:rPr>
          <w:rFonts w:cstheme="minorHAnsi"/>
          <w:bCs/>
        </w:rPr>
      </w:pPr>
      <w:r w:rsidRPr="00713B3E">
        <w:rPr>
          <w:rFonts w:cstheme="minorHAnsi"/>
          <w:bCs/>
        </w:rPr>
        <w:t xml:space="preserve">Renal transplant recipients should be educated about the adverse effects of </w:t>
      </w:r>
      <w:r>
        <w:rPr>
          <w:rFonts w:cstheme="minorHAnsi"/>
          <w:bCs/>
        </w:rPr>
        <w:t xml:space="preserve">sun </w:t>
      </w:r>
      <w:r w:rsidRPr="00713B3E">
        <w:rPr>
          <w:rFonts w:cstheme="minorHAnsi"/>
          <w:bCs/>
        </w:rPr>
        <w:t>exposure</w:t>
      </w:r>
      <w:r>
        <w:rPr>
          <w:rFonts w:cstheme="minorHAnsi"/>
          <w:bCs/>
        </w:rPr>
        <w:t>.</w:t>
      </w:r>
      <w:r w:rsidRPr="00713B3E">
        <w:rPr>
          <w:rFonts w:cstheme="minorHAnsi"/>
          <w:bCs/>
        </w:rPr>
        <w:t xml:space="preserve"> (</w:t>
      </w:r>
      <w:r w:rsidRPr="00C50D4D">
        <w:rPr>
          <w:rFonts w:cstheme="minorHAnsi"/>
          <w:bCs/>
        </w:rPr>
        <w:t>1C</w:t>
      </w:r>
      <w:r w:rsidRPr="00713B3E">
        <w:rPr>
          <w:rFonts w:cstheme="minorHAnsi"/>
          <w:bCs/>
        </w:rPr>
        <w:t>)</w:t>
      </w:r>
    </w:p>
    <w:p w14:paraId="5FF9CE6C" w14:textId="77777777" w:rsidR="00EB6556" w:rsidRPr="00713B3E" w:rsidRDefault="00EB6556">
      <w:pPr>
        <w:numPr>
          <w:ilvl w:val="0"/>
          <w:numId w:val="23"/>
        </w:numPr>
        <w:spacing w:line="276" w:lineRule="auto"/>
        <w:ind w:left="714" w:hanging="357"/>
        <w:jc w:val="both"/>
        <w:rPr>
          <w:rFonts w:cstheme="minorHAnsi"/>
          <w:bCs/>
        </w:rPr>
      </w:pPr>
      <w:r w:rsidRPr="00713B3E">
        <w:rPr>
          <w:rFonts w:cstheme="minorHAnsi"/>
          <w:bCs/>
        </w:rPr>
        <w:t>Patients should be encouraged to cover their skin in direct sunlight and to use total sunblock (Sun Protection Factor ≥50</w:t>
      </w:r>
      <w:r>
        <w:rPr>
          <w:rFonts w:cstheme="minorHAnsi"/>
          <w:bCs/>
        </w:rPr>
        <w:t>).</w:t>
      </w:r>
      <w:r w:rsidRPr="00713B3E">
        <w:rPr>
          <w:rFonts w:cstheme="minorHAnsi"/>
          <w:bCs/>
        </w:rPr>
        <w:t xml:space="preserve"> (</w:t>
      </w:r>
      <w:r w:rsidRPr="00C50D4D">
        <w:rPr>
          <w:rFonts w:cstheme="minorHAnsi"/>
          <w:bCs/>
        </w:rPr>
        <w:t>1D</w:t>
      </w:r>
      <w:r w:rsidRPr="00713B3E">
        <w:rPr>
          <w:rFonts w:cstheme="minorHAnsi"/>
          <w:bCs/>
        </w:rPr>
        <w:t>)</w:t>
      </w:r>
    </w:p>
    <w:p w14:paraId="0D70E778" w14:textId="77777777" w:rsidR="00EB6556" w:rsidRPr="00713B3E" w:rsidRDefault="00EB6556">
      <w:pPr>
        <w:numPr>
          <w:ilvl w:val="0"/>
          <w:numId w:val="23"/>
        </w:numPr>
        <w:spacing w:line="276" w:lineRule="auto"/>
        <w:ind w:left="714" w:hanging="357"/>
        <w:jc w:val="both"/>
        <w:rPr>
          <w:rFonts w:cstheme="minorHAnsi"/>
          <w:bCs/>
        </w:rPr>
      </w:pPr>
      <w:r w:rsidRPr="00713B3E">
        <w:rPr>
          <w:rFonts w:cstheme="minorHAnsi"/>
          <w:bCs/>
        </w:rPr>
        <w:t xml:space="preserve">Self-examination should be encouraged with guidance provided. This should be supplemented by </w:t>
      </w:r>
      <w:r>
        <w:rPr>
          <w:rFonts w:cstheme="minorHAnsi"/>
          <w:bCs/>
        </w:rPr>
        <w:t xml:space="preserve">a </w:t>
      </w:r>
      <w:r w:rsidRPr="00713B3E">
        <w:rPr>
          <w:rFonts w:cstheme="minorHAnsi"/>
          <w:bCs/>
        </w:rPr>
        <w:t xml:space="preserve">biannual review by a trained healthcare professional up to 5 years post-transplant and </w:t>
      </w:r>
      <w:r>
        <w:rPr>
          <w:rFonts w:cstheme="minorHAnsi"/>
          <w:bCs/>
        </w:rPr>
        <w:t xml:space="preserve">an </w:t>
      </w:r>
      <w:r w:rsidRPr="00713B3E">
        <w:rPr>
          <w:rFonts w:cstheme="minorHAnsi"/>
          <w:bCs/>
        </w:rPr>
        <w:t>annual review from 5 years</w:t>
      </w:r>
      <w:r>
        <w:rPr>
          <w:rFonts w:cstheme="minorHAnsi"/>
          <w:bCs/>
        </w:rPr>
        <w:t>.</w:t>
      </w:r>
      <w:r w:rsidRPr="00713B3E">
        <w:rPr>
          <w:rFonts w:cstheme="minorHAnsi"/>
          <w:bCs/>
        </w:rPr>
        <w:t xml:space="preserve"> (</w:t>
      </w:r>
      <w:r w:rsidRPr="00C50D4D">
        <w:rPr>
          <w:rFonts w:cstheme="minorHAnsi"/>
          <w:bCs/>
        </w:rPr>
        <w:t>2C</w:t>
      </w:r>
      <w:r w:rsidRPr="00713B3E">
        <w:rPr>
          <w:rFonts w:cstheme="minorHAnsi"/>
          <w:bCs/>
        </w:rPr>
        <w:t xml:space="preserve">) </w:t>
      </w:r>
    </w:p>
    <w:p w14:paraId="3F6C9F17" w14:textId="77777777" w:rsidR="00EB6556" w:rsidRPr="00713B3E" w:rsidRDefault="00EB6556">
      <w:pPr>
        <w:numPr>
          <w:ilvl w:val="0"/>
          <w:numId w:val="23"/>
        </w:numPr>
        <w:spacing w:line="276" w:lineRule="auto"/>
        <w:ind w:left="714" w:hanging="357"/>
        <w:jc w:val="both"/>
        <w:rPr>
          <w:rFonts w:cstheme="minorHAnsi"/>
          <w:bCs/>
        </w:rPr>
      </w:pPr>
      <w:r w:rsidRPr="00713B3E">
        <w:rPr>
          <w:rFonts w:cstheme="minorHAnsi"/>
          <w:bCs/>
        </w:rPr>
        <w:t xml:space="preserve">After initial screening, </w:t>
      </w:r>
      <w:r>
        <w:rPr>
          <w:rFonts w:cstheme="minorHAnsi"/>
          <w:bCs/>
        </w:rPr>
        <w:t xml:space="preserve">the </w:t>
      </w:r>
      <w:r w:rsidRPr="00713B3E">
        <w:rPr>
          <w:rFonts w:cstheme="minorHAnsi"/>
          <w:bCs/>
        </w:rPr>
        <w:t xml:space="preserve">frequency of subsequent reviews can be guided by a dermatologist based on risk assessment (skin type, previous history of skin cancers, immunosuppressive </w:t>
      </w:r>
      <w:proofErr w:type="gramStart"/>
      <w:r w:rsidRPr="00713B3E">
        <w:rPr>
          <w:rFonts w:cstheme="minorHAnsi"/>
          <w:bCs/>
        </w:rPr>
        <w:t>burden</w:t>
      </w:r>
      <w:proofErr w:type="gramEnd"/>
      <w:r w:rsidRPr="00713B3E">
        <w:rPr>
          <w:rFonts w:cstheme="minorHAnsi"/>
          <w:bCs/>
        </w:rPr>
        <w:t xml:space="preserve"> and any premalignant lesions)</w:t>
      </w:r>
      <w:r>
        <w:rPr>
          <w:rFonts w:cstheme="minorHAnsi"/>
          <w:bCs/>
        </w:rPr>
        <w:t>.</w:t>
      </w:r>
      <w:r w:rsidRPr="00713B3E">
        <w:rPr>
          <w:rFonts w:cstheme="minorHAnsi"/>
          <w:bCs/>
        </w:rPr>
        <w:t xml:space="preserve"> (</w:t>
      </w:r>
      <w:r w:rsidRPr="00C50D4D">
        <w:rPr>
          <w:rFonts w:cstheme="minorHAnsi"/>
          <w:bCs/>
        </w:rPr>
        <w:t>Ungraded</w:t>
      </w:r>
      <w:r w:rsidRPr="00713B3E">
        <w:rPr>
          <w:rFonts w:cstheme="minorHAnsi"/>
          <w:bCs/>
        </w:rPr>
        <w:t>)</w:t>
      </w:r>
    </w:p>
    <w:p w14:paraId="45200D8C" w14:textId="77777777" w:rsidR="00EB6556" w:rsidRPr="00713B3E" w:rsidRDefault="00EB6556">
      <w:pPr>
        <w:numPr>
          <w:ilvl w:val="0"/>
          <w:numId w:val="23"/>
        </w:numPr>
        <w:spacing w:line="276" w:lineRule="auto"/>
        <w:ind w:left="714" w:hanging="357"/>
        <w:jc w:val="both"/>
        <w:rPr>
          <w:rFonts w:cstheme="minorHAnsi"/>
          <w:bCs/>
        </w:rPr>
      </w:pPr>
      <w:r w:rsidRPr="00713B3E">
        <w:rPr>
          <w:rFonts w:cstheme="minorHAnsi"/>
          <w:bCs/>
        </w:rPr>
        <w:t xml:space="preserve">Prescription of acitretin as chemoprophylaxis </w:t>
      </w:r>
      <w:r>
        <w:rPr>
          <w:rFonts w:cstheme="minorHAnsi"/>
          <w:bCs/>
        </w:rPr>
        <w:t xml:space="preserve">to </w:t>
      </w:r>
      <w:r w:rsidRPr="00713B3E">
        <w:rPr>
          <w:rFonts w:cstheme="minorHAnsi"/>
          <w:bCs/>
        </w:rPr>
        <w:t>be considered in those with ≥2 previous non-melanoma skin cancers (NMSC) if there are no contraindications</w:t>
      </w:r>
      <w:r>
        <w:rPr>
          <w:rFonts w:cstheme="minorHAnsi"/>
          <w:bCs/>
        </w:rPr>
        <w:t>.</w:t>
      </w:r>
      <w:r w:rsidRPr="00713B3E">
        <w:rPr>
          <w:rFonts w:cstheme="minorHAnsi"/>
          <w:bCs/>
        </w:rPr>
        <w:t xml:space="preserve"> (</w:t>
      </w:r>
      <w:r w:rsidRPr="00C50D4D">
        <w:rPr>
          <w:rFonts w:cstheme="minorHAnsi"/>
          <w:bCs/>
        </w:rPr>
        <w:t>2B</w:t>
      </w:r>
      <w:r w:rsidRPr="00713B3E">
        <w:rPr>
          <w:rFonts w:cstheme="minorHAnsi"/>
          <w:bCs/>
        </w:rPr>
        <w:t>)</w:t>
      </w:r>
    </w:p>
    <w:p w14:paraId="79B485AE" w14:textId="77777777" w:rsidR="00EB6556" w:rsidRPr="00713B3E" w:rsidRDefault="00EB6556">
      <w:pPr>
        <w:numPr>
          <w:ilvl w:val="0"/>
          <w:numId w:val="23"/>
        </w:numPr>
        <w:spacing w:line="276" w:lineRule="auto"/>
        <w:ind w:left="714" w:hanging="357"/>
        <w:jc w:val="both"/>
        <w:rPr>
          <w:rFonts w:cstheme="minorHAnsi"/>
          <w:bCs/>
        </w:rPr>
      </w:pPr>
      <w:r w:rsidRPr="00713B3E">
        <w:rPr>
          <w:rFonts w:cstheme="minorHAnsi"/>
          <w:bCs/>
        </w:rPr>
        <w:t>IS should be reduced if neoplasia develops</w:t>
      </w:r>
      <w:r>
        <w:rPr>
          <w:rFonts w:cstheme="minorHAnsi"/>
          <w:bCs/>
        </w:rPr>
        <w:t>.</w:t>
      </w:r>
      <w:r w:rsidRPr="00713B3E">
        <w:rPr>
          <w:rFonts w:cstheme="minorHAnsi"/>
          <w:bCs/>
        </w:rPr>
        <w:t xml:space="preserve"> (</w:t>
      </w:r>
      <w:r w:rsidRPr="00C50D4D">
        <w:rPr>
          <w:rFonts w:cstheme="minorHAnsi"/>
          <w:bCs/>
        </w:rPr>
        <w:t>2C</w:t>
      </w:r>
      <w:r w:rsidRPr="00713B3E">
        <w:rPr>
          <w:rFonts w:cstheme="minorHAnsi"/>
          <w:bCs/>
        </w:rPr>
        <w:t>)</w:t>
      </w:r>
    </w:p>
    <w:p w14:paraId="1D794B8A" w14:textId="77777777" w:rsidR="00EB6556" w:rsidRPr="00713B3E" w:rsidRDefault="00EB6556">
      <w:pPr>
        <w:numPr>
          <w:ilvl w:val="0"/>
          <w:numId w:val="23"/>
        </w:numPr>
        <w:pBdr>
          <w:between w:val="nil"/>
        </w:pBdr>
        <w:spacing w:line="276" w:lineRule="auto"/>
        <w:ind w:left="714" w:hanging="357"/>
        <w:jc w:val="both"/>
        <w:rPr>
          <w:rFonts w:cstheme="minorHAnsi"/>
          <w:bCs/>
          <w:color w:val="000000"/>
        </w:rPr>
      </w:pPr>
      <w:r w:rsidRPr="00713B3E">
        <w:rPr>
          <w:rFonts w:cstheme="minorHAnsi"/>
          <w:bCs/>
          <w:color w:val="000000"/>
        </w:rPr>
        <w:t xml:space="preserve">Following re-transplantation, CNI to mTOR inhibitor (Sirolimus or Everolimus) switch should be considered for recipients with </w:t>
      </w:r>
      <w:r>
        <w:rPr>
          <w:rFonts w:cstheme="minorHAnsi"/>
          <w:bCs/>
          <w:color w:val="000000"/>
        </w:rPr>
        <w:t xml:space="preserve">a </w:t>
      </w:r>
      <w:r w:rsidRPr="00713B3E">
        <w:rPr>
          <w:rFonts w:cstheme="minorHAnsi"/>
          <w:bCs/>
          <w:color w:val="000000"/>
        </w:rPr>
        <w:t xml:space="preserve">history of skin cancers, </w:t>
      </w:r>
      <w:r>
        <w:rPr>
          <w:rFonts w:cstheme="minorHAnsi"/>
          <w:bCs/>
          <w:color w:val="000000"/>
        </w:rPr>
        <w:t>particularly</w:t>
      </w:r>
      <w:r w:rsidRPr="00713B3E">
        <w:rPr>
          <w:rFonts w:cstheme="minorHAnsi"/>
          <w:bCs/>
          <w:color w:val="000000"/>
        </w:rPr>
        <w:t xml:space="preserve"> squamous cell skin cancer</w:t>
      </w:r>
      <w:r>
        <w:rPr>
          <w:rFonts w:cstheme="minorHAnsi"/>
          <w:bCs/>
          <w:color w:val="000000"/>
        </w:rPr>
        <w:t>.</w:t>
      </w:r>
      <w:r w:rsidRPr="00713B3E">
        <w:rPr>
          <w:rFonts w:cstheme="minorHAnsi"/>
          <w:bCs/>
          <w:color w:val="000000"/>
        </w:rPr>
        <w:t xml:space="preserve"> (</w:t>
      </w:r>
      <w:r w:rsidRPr="00C50D4D">
        <w:rPr>
          <w:rFonts w:cstheme="minorHAnsi"/>
          <w:bCs/>
          <w:color w:val="000000"/>
        </w:rPr>
        <w:t>2B</w:t>
      </w:r>
      <w:r w:rsidRPr="00713B3E">
        <w:rPr>
          <w:rFonts w:cstheme="minorHAnsi"/>
          <w:bCs/>
          <w:color w:val="000000"/>
        </w:rPr>
        <w:t>)</w:t>
      </w:r>
    </w:p>
    <w:p w14:paraId="5153B331" w14:textId="77777777" w:rsidR="00EB6556" w:rsidRPr="00713B3E" w:rsidRDefault="00EB6556">
      <w:pPr>
        <w:numPr>
          <w:ilvl w:val="0"/>
          <w:numId w:val="29"/>
        </w:numPr>
        <w:spacing w:line="276" w:lineRule="auto"/>
        <w:ind w:left="714" w:hanging="357"/>
        <w:jc w:val="both"/>
        <w:rPr>
          <w:rFonts w:cstheme="minorHAnsi"/>
          <w:bCs/>
        </w:rPr>
      </w:pPr>
      <w:r w:rsidRPr="00713B3E">
        <w:rPr>
          <w:rFonts w:cstheme="minorHAnsi"/>
          <w:bCs/>
          <w:color w:val="232323"/>
        </w:rPr>
        <w:t xml:space="preserve">No waiting period </w:t>
      </w:r>
      <w:r>
        <w:rPr>
          <w:rFonts w:cstheme="minorHAnsi"/>
          <w:bCs/>
          <w:color w:val="232323"/>
        </w:rPr>
        <w:t xml:space="preserve">before re-transplantation </w:t>
      </w:r>
      <w:r w:rsidRPr="00713B3E">
        <w:rPr>
          <w:rFonts w:cstheme="minorHAnsi"/>
          <w:bCs/>
          <w:color w:val="232323"/>
        </w:rPr>
        <w:t xml:space="preserve">is required for basal or low-risk squamous cell carcinoma of the skin (surgical excision with clear margins), </w:t>
      </w:r>
      <w:r w:rsidRPr="00713B3E">
        <w:rPr>
          <w:rFonts w:cstheme="minorHAnsi"/>
          <w:bCs/>
          <w:i/>
          <w:iCs/>
          <w:color w:val="232323"/>
        </w:rPr>
        <w:t>in situ</w:t>
      </w:r>
      <w:r w:rsidRPr="00713B3E">
        <w:rPr>
          <w:rFonts w:cstheme="minorHAnsi"/>
          <w:bCs/>
          <w:color w:val="232323"/>
        </w:rPr>
        <w:t xml:space="preserve"> melanoma following curative wide local excision</w:t>
      </w:r>
      <w:r>
        <w:rPr>
          <w:rFonts w:cstheme="minorHAnsi"/>
          <w:bCs/>
          <w:color w:val="232323"/>
        </w:rPr>
        <w:t>.</w:t>
      </w:r>
      <w:r w:rsidRPr="00713B3E">
        <w:rPr>
          <w:rFonts w:cstheme="minorHAnsi"/>
          <w:bCs/>
          <w:color w:val="232323"/>
        </w:rPr>
        <w:t xml:space="preserve"> (</w:t>
      </w:r>
      <w:r w:rsidRPr="00C50D4D">
        <w:rPr>
          <w:rFonts w:cstheme="minorHAnsi"/>
          <w:bCs/>
          <w:color w:val="232323"/>
        </w:rPr>
        <w:t>1B</w:t>
      </w:r>
      <w:r w:rsidRPr="00713B3E">
        <w:rPr>
          <w:rFonts w:cstheme="minorHAnsi"/>
          <w:bCs/>
          <w:color w:val="232323"/>
        </w:rPr>
        <w:t>)</w:t>
      </w:r>
    </w:p>
    <w:p w14:paraId="130E3246" w14:textId="77777777" w:rsidR="00EB6556" w:rsidRPr="00713B3E" w:rsidRDefault="00EB6556">
      <w:pPr>
        <w:numPr>
          <w:ilvl w:val="0"/>
          <w:numId w:val="29"/>
        </w:numPr>
        <w:spacing w:line="276" w:lineRule="auto"/>
        <w:ind w:left="714" w:hanging="357"/>
        <w:jc w:val="both"/>
        <w:rPr>
          <w:rFonts w:cstheme="minorHAnsi"/>
          <w:bCs/>
        </w:rPr>
      </w:pPr>
      <w:r w:rsidRPr="00713B3E">
        <w:rPr>
          <w:rFonts w:cstheme="minorHAnsi"/>
          <w:bCs/>
          <w:color w:val="232323"/>
        </w:rPr>
        <w:t>Following surgical excision with clear margins, high-risk squamous cell carcinoma of the skin without perineural invasion requires a two-year waiting period</w:t>
      </w:r>
      <w:r>
        <w:rPr>
          <w:rFonts w:cstheme="minorHAnsi"/>
          <w:bCs/>
          <w:color w:val="232323"/>
        </w:rPr>
        <w:t xml:space="preserve"> before re-transplantation</w:t>
      </w:r>
      <w:r w:rsidRPr="00713B3E">
        <w:rPr>
          <w:rFonts w:cstheme="minorHAnsi"/>
          <w:bCs/>
          <w:color w:val="232323"/>
        </w:rPr>
        <w:t xml:space="preserve">. If </w:t>
      </w:r>
      <w:r>
        <w:rPr>
          <w:rFonts w:cstheme="minorHAnsi"/>
          <w:bCs/>
          <w:color w:val="232323"/>
        </w:rPr>
        <w:t xml:space="preserve">the </w:t>
      </w:r>
      <w:r w:rsidRPr="00713B3E">
        <w:rPr>
          <w:rFonts w:cstheme="minorHAnsi"/>
          <w:bCs/>
          <w:color w:val="232323"/>
        </w:rPr>
        <w:t>perineural invasion is found or adjuvant radiation therapy is required, a two- to three-year waiting period is required</w:t>
      </w:r>
      <w:r>
        <w:rPr>
          <w:rFonts w:cstheme="minorHAnsi"/>
          <w:bCs/>
          <w:color w:val="232323"/>
        </w:rPr>
        <w:t>.</w:t>
      </w:r>
      <w:r w:rsidRPr="00713B3E">
        <w:rPr>
          <w:rFonts w:cstheme="minorHAnsi"/>
          <w:bCs/>
          <w:color w:val="232323"/>
        </w:rPr>
        <w:t xml:space="preserve"> (</w:t>
      </w:r>
      <w:r w:rsidRPr="00C50D4D">
        <w:rPr>
          <w:rFonts w:cstheme="minorHAnsi"/>
          <w:bCs/>
          <w:color w:val="232323"/>
        </w:rPr>
        <w:t>1B</w:t>
      </w:r>
      <w:r w:rsidRPr="00713B3E">
        <w:rPr>
          <w:rFonts w:cstheme="minorHAnsi"/>
          <w:bCs/>
          <w:color w:val="232323"/>
        </w:rPr>
        <w:t xml:space="preserve">) </w:t>
      </w:r>
    </w:p>
    <w:p w14:paraId="22AB683F" w14:textId="77777777" w:rsidR="00EB6556" w:rsidRPr="00713B3E" w:rsidRDefault="00EB6556">
      <w:pPr>
        <w:numPr>
          <w:ilvl w:val="0"/>
          <w:numId w:val="29"/>
        </w:numPr>
        <w:spacing w:line="276" w:lineRule="auto"/>
        <w:ind w:left="714" w:hanging="357"/>
        <w:jc w:val="both"/>
        <w:rPr>
          <w:rFonts w:cstheme="minorHAnsi"/>
          <w:bCs/>
        </w:rPr>
      </w:pPr>
      <w:r w:rsidRPr="00713B3E">
        <w:rPr>
          <w:rFonts w:cstheme="minorHAnsi"/>
          <w:bCs/>
          <w:color w:val="232323"/>
        </w:rPr>
        <w:t>Localised Merkel cell carcinoma of the skin treated with wide local excision requires a two-year, cancer-free period</w:t>
      </w:r>
      <w:r>
        <w:rPr>
          <w:rFonts w:cstheme="minorHAnsi"/>
          <w:bCs/>
          <w:color w:val="232323"/>
        </w:rPr>
        <w:t xml:space="preserve"> before re-transplantation</w:t>
      </w:r>
      <w:r w:rsidRPr="00713B3E">
        <w:rPr>
          <w:rFonts w:cstheme="minorHAnsi"/>
          <w:bCs/>
          <w:color w:val="232323"/>
        </w:rPr>
        <w:t xml:space="preserve"> (</w:t>
      </w:r>
      <w:r w:rsidRPr="00C50D4D">
        <w:rPr>
          <w:rFonts w:cstheme="minorHAnsi"/>
          <w:bCs/>
          <w:color w:val="232323"/>
        </w:rPr>
        <w:t>1B</w:t>
      </w:r>
      <w:r w:rsidRPr="00713B3E">
        <w:rPr>
          <w:rFonts w:cstheme="minorHAnsi"/>
          <w:bCs/>
          <w:color w:val="232323"/>
        </w:rPr>
        <w:t xml:space="preserve">) </w:t>
      </w:r>
    </w:p>
    <w:p w14:paraId="24CAF0EF" w14:textId="77777777" w:rsidR="00EB6556" w:rsidRPr="00713B3E" w:rsidRDefault="00EB6556">
      <w:pPr>
        <w:numPr>
          <w:ilvl w:val="0"/>
          <w:numId w:val="29"/>
        </w:numPr>
        <w:spacing w:line="276" w:lineRule="auto"/>
        <w:ind w:left="714" w:hanging="357"/>
        <w:jc w:val="both"/>
        <w:rPr>
          <w:rFonts w:cstheme="minorHAnsi"/>
          <w:bCs/>
        </w:rPr>
      </w:pPr>
      <w:r w:rsidRPr="00713B3E">
        <w:rPr>
          <w:rFonts w:cstheme="minorHAnsi"/>
          <w:bCs/>
          <w:color w:val="232323"/>
        </w:rPr>
        <w:t xml:space="preserve">A stage Ia melanoma treated with wide local excision requires a two-year, disease-free period. Other more advanced melanoma may require a five-year waiting period or </w:t>
      </w:r>
      <w:r>
        <w:rPr>
          <w:rFonts w:cstheme="minorHAnsi"/>
          <w:bCs/>
          <w:color w:val="232323"/>
        </w:rPr>
        <w:t>maybe</w:t>
      </w:r>
      <w:r w:rsidRPr="00713B3E">
        <w:rPr>
          <w:rFonts w:cstheme="minorHAnsi"/>
          <w:bCs/>
          <w:color w:val="232323"/>
        </w:rPr>
        <w:t xml:space="preserve"> a contraindication to re-transplantation</w:t>
      </w:r>
      <w:r>
        <w:rPr>
          <w:rFonts w:cstheme="minorHAnsi"/>
          <w:bCs/>
          <w:color w:val="232323"/>
        </w:rPr>
        <w:t>.</w:t>
      </w:r>
      <w:r w:rsidRPr="00713B3E">
        <w:rPr>
          <w:rFonts w:cstheme="minorHAnsi"/>
          <w:bCs/>
          <w:color w:val="232323"/>
        </w:rPr>
        <w:t xml:space="preserve"> (</w:t>
      </w:r>
      <w:r w:rsidRPr="00C50D4D">
        <w:rPr>
          <w:rFonts w:cstheme="minorHAnsi"/>
          <w:bCs/>
          <w:color w:val="232323"/>
        </w:rPr>
        <w:t>1B</w:t>
      </w:r>
      <w:r w:rsidRPr="00713B3E">
        <w:rPr>
          <w:rFonts w:cstheme="minorHAnsi"/>
          <w:bCs/>
          <w:color w:val="232323"/>
        </w:rPr>
        <w:t xml:space="preserve">) </w:t>
      </w:r>
    </w:p>
    <w:p w14:paraId="1889D592" w14:textId="100E9928" w:rsidR="00EB6556" w:rsidRPr="00713B3E" w:rsidRDefault="00EB6556" w:rsidP="0082468C">
      <w:r w:rsidRPr="00713B3E">
        <w:t>Recommendations for audit and research</w:t>
      </w:r>
      <w:r w:rsidR="0082468C">
        <w:t>:</w:t>
      </w:r>
    </w:p>
    <w:p w14:paraId="7AD30638" w14:textId="77777777" w:rsidR="00EB6556" w:rsidRPr="00713B3E" w:rsidRDefault="00EB6556" w:rsidP="00346D2E">
      <w:pPr>
        <w:pStyle w:val="ListParagraph"/>
        <w:numPr>
          <w:ilvl w:val="0"/>
          <w:numId w:val="30"/>
        </w:numPr>
      </w:pPr>
      <w:r w:rsidRPr="00713B3E">
        <w:t xml:space="preserve">Recurrence of skin cancers following re-transplantation in patients with </w:t>
      </w:r>
      <w:r>
        <w:t xml:space="preserve">a </w:t>
      </w:r>
      <w:r w:rsidRPr="00713B3E">
        <w:t>previous history of treated skin cancers</w:t>
      </w:r>
    </w:p>
    <w:p w14:paraId="0CA29DCA" w14:textId="77777777" w:rsidR="00EB6556" w:rsidRPr="00713B3E" w:rsidRDefault="00EB6556" w:rsidP="00346D2E">
      <w:pPr>
        <w:pStyle w:val="ListParagraph"/>
        <w:numPr>
          <w:ilvl w:val="0"/>
          <w:numId w:val="30"/>
        </w:numPr>
      </w:pPr>
      <w:r w:rsidRPr="00713B3E">
        <w:t xml:space="preserve">Optimal immunosuppressive regimen in patients with </w:t>
      </w:r>
      <w:r>
        <w:t xml:space="preserve">a </w:t>
      </w:r>
      <w:r w:rsidRPr="00713B3E">
        <w:t>history of skin cancers following re-transplantation</w:t>
      </w:r>
    </w:p>
    <w:p w14:paraId="558C0335" w14:textId="4EA66BE0" w:rsidR="00EB6556" w:rsidRDefault="00EB6556" w:rsidP="00C959D0">
      <w:pPr>
        <w:pStyle w:val="Heading3"/>
        <w:rPr>
          <w:highlight w:val="white"/>
        </w:rPr>
      </w:pPr>
      <w:bookmarkStart w:id="139" w:name="_Toc128330044"/>
      <w:r w:rsidRPr="00713B3E">
        <w:rPr>
          <w:highlight w:val="white"/>
        </w:rPr>
        <w:lastRenderedPageBreak/>
        <w:t>Rationale</w:t>
      </w:r>
      <w:bookmarkEnd w:id="139"/>
    </w:p>
    <w:p w14:paraId="7763E443" w14:textId="77777777" w:rsidR="00EB6556" w:rsidRPr="00713B3E" w:rsidRDefault="00EB6556" w:rsidP="00C50D4D">
      <w:pPr>
        <w:spacing w:line="276" w:lineRule="auto"/>
        <w:jc w:val="both"/>
        <w:rPr>
          <w:rFonts w:cstheme="minorHAnsi"/>
          <w:color w:val="232323"/>
          <w:highlight w:val="white"/>
        </w:rPr>
      </w:pPr>
      <w:r w:rsidRPr="00713B3E">
        <w:rPr>
          <w:rFonts w:cstheme="minorHAnsi"/>
        </w:rPr>
        <w:t xml:space="preserve">The incidence of cutaneous neoplasia is significantly increased in kidney transplant recipients compared to </w:t>
      </w:r>
      <w:r>
        <w:rPr>
          <w:rFonts w:cstheme="minorHAnsi"/>
        </w:rPr>
        <w:t xml:space="preserve">the </w:t>
      </w:r>
      <w:r w:rsidRPr="00713B3E">
        <w:rPr>
          <w:rFonts w:cstheme="minorHAnsi"/>
        </w:rPr>
        <w:t>general population</w:t>
      </w:r>
      <w:r w:rsidRPr="00713B3E">
        <w:rPr>
          <w:rFonts w:cstheme="minorHAnsi"/>
          <w:vertAlign w:val="superscript"/>
        </w:rPr>
        <w:t>1,2,3,4</w:t>
      </w:r>
      <w:r w:rsidRPr="00713B3E">
        <w:rPr>
          <w:rFonts w:cstheme="minorHAnsi"/>
        </w:rPr>
        <w:t xml:space="preserve">. </w:t>
      </w:r>
      <w:r>
        <w:rPr>
          <w:rFonts w:cstheme="minorHAnsi"/>
        </w:rPr>
        <w:t>The relative risk of developing melanoma and non-melanoma skin cancers are summarised in the BTS guideline on post-operative care of kidney transplant recipient</w:t>
      </w:r>
      <w:r>
        <w:rPr>
          <w:rFonts w:cstheme="minorHAnsi"/>
          <w:vertAlign w:val="superscript"/>
        </w:rPr>
        <w:t>6</w:t>
      </w:r>
      <w:r>
        <w:rPr>
          <w:rFonts w:cstheme="minorHAnsi"/>
        </w:rPr>
        <w:t>.</w:t>
      </w:r>
      <w:r w:rsidRPr="00713B3E">
        <w:rPr>
          <w:rFonts w:cstheme="minorHAnsi"/>
        </w:rPr>
        <w:t xml:space="preserve">  </w:t>
      </w:r>
      <w:r>
        <w:rPr>
          <w:rFonts w:cstheme="minorHAnsi"/>
          <w:color w:val="232323"/>
          <w:highlight w:val="white"/>
        </w:rPr>
        <w:t>Patients</w:t>
      </w:r>
      <w:r w:rsidRPr="00713B3E">
        <w:rPr>
          <w:rFonts w:cstheme="minorHAnsi"/>
          <w:color w:val="232323"/>
          <w:highlight w:val="white"/>
        </w:rPr>
        <w:t xml:space="preserve"> with</w:t>
      </w:r>
      <w:r>
        <w:rPr>
          <w:rFonts w:cstheme="minorHAnsi"/>
          <w:color w:val="232323"/>
          <w:highlight w:val="white"/>
        </w:rPr>
        <w:t xml:space="preserve"> a</w:t>
      </w:r>
      <w:r w:rsidRPr="00713B3E">
        <w:rPr>
          <w:rFonts w:cstheme="minorHAnsi"/>
          <w:color w:val="232323"/>
          <w:highlight w:val="white"/>
        </w:rPr>
        <w:t xml:space="preserve"> failing kidney transplant are at higher risk of skin cancers due to </w:t>
      </w:r>
      <w:r>
        <w:rPr>
          <w:rFonts w:cstheme="minorHAnsi"/>
          <w:color w:val="232323"/>
          <w:highlight w:val="white"/>
        </w:rPr>
        <w:t xml:space="preserve">a </w:t>
      </w:r>
      <w:r w:rsidRPr="00713B3E">
        <w:rPr>
          <w:rFonts w:cstheme="minorHAnsi"/>
          <w:color w:val="232323"/>
          <w:highlight w:val="white"/>
        </w:rPr>
        <w:t>longer duration of immunosuppression exposure</w:t>
      </w:r>
      <w:r w:rsidRPr="00713B3E">
        <w:rPr>
          <w:rFonts w:cstheme="minorHAnsi"/>
          <w:color w:val="232323"/>
          <w:vertAlign w:val="superscript"/>
        </w:rPr>
        <w:t>5</w:t>
      </w:r>
      <w:r w:rsidRPr="00713B3E">
        <w:rPr>
          <w:rFonts w:cstheme="minorHAnsi"/>
        </w:rPr>
        <w:t xml:space="preserve">.  </w:t>
      </w:r>
      <w:r w:rsidRPr="00713B3E">
        <w:rPr>
          <w:rFonts w:cstheme="minorHAnsi"/>
          <w:color w:val="232323"/>
          <w:highlight w:val="white"/>
        </w:rPr>
        <w:t xml:space="preserve">A variety of factors, including the intensity and duration of IS, </w:t>
      </w:r>
      <w:r>
        <w:rPr>
          <w:rFonts w:cstheme="minorHAnsi"/>
          <w:color w:val="232323"/>
          <w:highlight w:val="white"/>
        </w:rPr>
        <w:t xml:space="preserve">the </w:t>
      </w:r>
      <w:r w:rsidRPr="00713B3E">
        <w:rPr>
          <w:rFonts w:cstheme="minorHAnsi"/>
          <w:color w:val="232323"/>
          <w:highlight w:val="white"/>
        </w:rPr>
        <w:t xml:space="preserve">patient’s ethnic background, sun exposure history, and geographic location, influence the likelihood of the development of skin cancer in these patients. </w:t>
      </w:r>
    </w:p>
    <w:p w14:paraId="4E38E0A4" w14:textId="77777777" w:rsidR="00EB6556" w:rsidRPr="00713B3E" w:rsidRDefault="00EB6556" w:rsidP="00C50D4D">
      <w:pPr>
        <w:spacing w:line="276" w:lineRule="auto"/>
        <w:jc w:val="both"/>
        <w:rPr>
          <w:rFonts w:cstheme="minorHAnsi"/>
          <w:color w:val="232323"/>
          <w:highlight w:val="white"/>
        </w:rPr>
      </w:pPr>
      <w:r w:rsidRPr="00713B3E">
        <w:rPr>
          <w:rFonts w:cstheme="minorHAnsi"/>
          <w:color w:val="232323"/>
          <w:highlight w:val="white"/>
        </w:rPr>
        <w:t>Regardless of graft function, the mainstay of management is the same with regular surveillance, reduction in IS and specific management by the dermatology</w:t>
      </w:r>
      <w:r>
        <w:rPr>
          <w:rFonts w:cstheme="minorHAnsi"/>
          <w:color w:val="232323"/>
          <w:highlight w:val="white"/>
        </w:rPr>
        <w:t>/surgical</w:t>
      </w:r>
      <w:r w:rsidRPr="00713B3E">
        <w:rPr>
          <w:rFonts w:cstheme="minorHAnsi"/>
          <w:color w:val="232323"/>
          <w:highlight w:val="white"/>
        </w:rPr>
        <w:t xml:space="preserve"> team. </w:t>
      </w:r>
      <w:r>
        <w:rPr>
          <w:rFonts w:cstheme="minorHAnsi"/>
          <w:color w:val="232323"/>
          <w:highlight w:val="white"/>
        </w:rPr>
        <w:t xml:space="preserve">Part of the treatment will involve the minimisation or modification of immunosuppressive therapy. </w:t>
      </w:r>
      <w:r w:rsidRPr="00713B3E">
        <w:rPr>
          <w:rFonts w:cstheme="minorHAnsi"/>
          <w:color w:val="232323"/>
          <w:highlight w:val="white"/>
        </w:rPr>
        <w:t xml:space="preserve"> After </w:t>
      </w:r>
      <w:r>
        <w:rPr>
          <w:rFonts w:cstheme="minorHAnsi"/>
          <w:color w:val="232323"/>
          <w:highlight w:val="white"/>
        </w:rPr>
        <w:t>re-transplantation</w:t>
      </w:r>
      <w:r w:rsidRPr="00713B3E">
        <w:rPr>
          <w:rFonts w:cstheme="minorHAnsi"/>
          <w:color w:val="232323"/>
          <w:highlight w:val="white"/>
        </w:rPr>
        <w:t xml:space="preserve">, a switch to mTORi should be considered in patients with previously treated skin cancers, </w:t>
      </w:r>
      <w:r>
        <w:rPr>
          <w:rFonts w:cstheme="minorHAnsi"/>
          <w:color w:val="232323"/>
          <w:highlight w:val="white"/>
        </w:rPr>
        <w:t>particularly</w:t>
      </w:r>
      <w:r w:rsidRPr="00713B3E">
        <w:rPr>
          <w:rFonts w:cstheme="minorHAnsi"/>
          <w:color w:val="232323"/>
          <w:highlight w:val="white"/>
        </w:rPr>
        <w:t xml:space="preserve"> squamous cell skin cancer </w:t>
      </w:r>
      <w:r w:rsidRPr="00713B3E">
        <w:rPr>
          <w:rFonts w:cstheme="minorHAnsi"/>
          <w:color w:val="232323"/>
          <w:highlight w:val="white"/>
          <w:vertAlign w:val="superscript"/>
        </w:rPr>
        <w:t>12</w:t>
      </w:r>
      <w:r>
        <w:rPr>
          <w:rFonts w:cstheme="minorHAnsi"/>
          <w:color w:val="232323"/>
          <w:highlight w:val="white"/>
          <w:vertAlign w:val="superscript"/>
        </w:rPr>
        <w:t>, 13</w:t>
      </w:r>
      <w:r w:rsidRPr="00713B3E">
        <w:rPr>
          <w:rFonts w:cstheme="minorHAnsi"/>
          <w:color w:val="232323"/>
          <w:highlight w:val="white"/>
        </w:rPr>
        <w:t>.</w:t>
      </w:r>
    </w:p>
    <w:p w14:paraId="770EC89E" w14:textId="77777777" w:rsidR="00EB6556" w:rsidRPr="00713B3E" w:rsidRDefault="00EB6556" w:rsidP="00C50D4D">
      <w:pPr>
        <w:spacing w:line="276" w:lineRule="auto"/>
        <w:jc w:val="both"/>
        <w:rPr>
          <w:rFonts w:cstheme="minorHAnsi"/>
          <w:color w:val="232323"/>
          <w:highlight w:val="white"/>
        </w:rPr>
      </w:pPr>
      <w:r w:rsidRPr="00713B3E">
        <w:rPr>
          <w:rFonts w:cstheme="minorHAnsi"/>
          <w:color w:val="232323"/>
          <w:highlight w:val="white"/>
        </w:rPr>
        <w:t xml:space="preserve">The recommended </w:t>
      </w:r>
      <w:r>
        <w:rPr>
          <w:rFonts w:cstheme="minorHAnsi"/>
          <w:color w:val="232323"/>
          <w:highlight w:val="white"/>
        </w:rPr>
        <w:t>twice-a-year</w:t>
      </w:r>
      <w:r w:rsidRPr="00713B3E">
        <w:rPr>
          <w:rFonts w:cstheme="minorHAnsi"/>
          <w:color w:val="232323"/>
          <w:highlight w:val="white"/>
        </w:rPr>
        <w:t xml:space="preserve"> review by a dermatologist for 5 years followed by </w:t>
      </w:r>
      <w:r>
        <w:rPr>
          <w:rFonts w:cstheme="minorHAnsi"/>
          <w:color w:val="232323"/>
          <w:highlight w:val="white"/>
        </w:rPr>
        <w:t xml:space="preserve">an </w:t>
      </w:r>
      <w:r w:rsidRPr="00713B3E">
        <w:rPr>
          <w:rFonts w:cstheme="minorHAnsi"/>
          <w:color w:val="232323"/>
          <w:highlight w:val="white"/>
        </w:rPr>
        <w:t>annual review is a target that is often not met in most of the centres. A survey</w:t>
      </w:r>
      <w:r w:rsidRPr="00713B3E">
        <w:rPr>
          <w:rFonts w:cstheme="minorHAnsi"/>
          <w:color w:val="232323"/>
        </w:rPr>
        <w:t xml:space="preserve"> </w:t>
      </w:r>
      <w:r w:rsidRPr="00713B3E">
        <w:rPr>
          <w:rFonts w:cstheme="minorHAnsi"/>
          <w:color w:val="2B3131"/>
        </w:rPr>
        <w:t>published in 2020 found wide variations in skin surveillance for kidney transplant patients in the UK. Of the 51 (86%) centres responding, only 28 (55%) provided skin cancer surveillance post-transplantation</w:t>
      </w:r>
      <w:r w:rsidRPr="00713B3E">
        <w:rPr>
          <w:rFonts w:cstheme="minorHAnsi"/>
          <w:color w:val="2B3131"/>
          <w:vertAlign w:val="superscript"/>
        </w:rPr>
        <w:t>10,11</w:t>
      </w:r>
      <w:r w:rsidRPr="00713B3E">
        <w:rPr>
          <w:rFonts w:cstheme="minorHAnsi"/>
          <w:color w:val="2B3131"/>
        </w:rPr>
        <w:t xml:space="preserve">. There are wide variations in </w:t>
      </w:r>
      <w:r>
        <w:rPr>
          <w:rFonts w:cstheme="minorHAnsi"/>
          <w:color w:val="2B3131"/>
        </w:rPr>
        <w:t xml:space="preserve">the </w:t>
      </w:r>
      <w:r w:rsidRPr="00713B3E">
        <w:rPr>
          <w:rFonts w:cstheme="minorHAnsi"/>
          <w:color w:val="2B3131"/>
        </w:rPr>
        <w:t xml:space="preserve">frequency of monitoring and a recommended biannual assessment is often not achieved. Patients with </w:t>
      </w:r>
      <w:r>
        <w:rPr>
          <w:rFonts w:cstheme="minorHAnsi"/>
          <w:color w:val="2B3131"/>
        </w:rPr>
        <w:t xml:space="preserve">a </w:t>
      </w:r>
      <w:r w:rsidRPr="00713B3E">
        <w:rPr>
          <w:rFonts w:cstheme="minorHAnsi"/>
          <w:color w:val="2B3131"/>
        </w:rPr>
        <w:t>failing kidney transplant would have been exposed to immunosuppression for prolonged periods of time and therefore, it is advisable to ensure annual skin surveillance or at a frequency determined by the dermatologist. Following second and subsequent transplants, at least one dermatology review within the 1</w:t>
      </w:r>
      <w:r w:rsidRPr="00713B3E">
        <w:rPr>
          <w:rFonts w:cstheme="minorHAnsi"/>
          <w:color w:val="2B3131"/>
          <w:vertAlign w:val="superscript"/>
        </w:rPr>
        <w:t>st</w:t>
      </w:r>
      <w:r w:rsidRPr="00713B3E">
        <w:rPr>
          <w:rFonts w:cstheme="minorHAnsi"/>
          <w:color w:val="2B3131"/>
        </w:rPr>
        <w:t xml:space="preserve"> post-transplant year</w:t>
      </w:r>
      <w:r>
        <w:rPr>
          <w:rFonts w:cstheme="minorHAnsi"/>
          <w:color w:val="2B3131"/>
        </w:rPr>
        <w:t>,</w:t>
      </w:r>
      <w:r w:rsidRPr="00713B3E">
        <w:rPr>
          <w:rFonts w:cstheme="minorHAnsi"/>
          <w:color w:val="2B3131"/>
        </w:rPr>
        <w:t xml:space="preserve"> followed by </w:t>
      </w:r>
      <w:r>
        <w:rPr>
          <w:rFonts w:cstheme="minorHAnsi"/>
          <w:color w:val="2B3131"/>
        </w:rPr>
        <w:t xml:space="preserve">a review </w:t>
      </w:r>
      <w:r w:rsidRPr="00713B3E">
        <w:rPr>
          <w:rFonts w:cstheme="minorHAnsi"/>
          <w:color w:val="2B3131"/>
        </w:rPr>
        <w:t xml:space="preserve">at intervals advised by the dermatology team (based on </w:t>
      </w:r>
      <w:r>
        <w:rPr>
          <w:rFonts w:cstheme="minorHAnsi"/>
          <w:color w:val="2B3131"/>
        </w:rPr>
        <w:t xml:space="preserve">the </w:t>
      </w:r>
      <w:r w:rsidRPr="00713B3E">
        <w:rPr>
          <w:rFonts w:cstheme="minorHAnsi"/>
          <w:color w:val="2B3131"/>
        </w:rPr>
        <w:t>previous history of skin cancers, skin type and current skin assessment) where bi-annual assessment is not possible could be a practical approach to achieve adequate dermatology surveillance. Patients should be encouraged to inspect their skin and report any new lesions.</w:t>
      </w:r>
    </w:p>
    <w:p w14:paraId="0D335BD3" w14:textId="77777777" w:rsidR="00EB6556" w:rsidRPr="00713B3E" w:rsidRDefault="00EB6556" w:rsidP="00C50D4D">
      <w:pPr>
        <w:spacing w:line="276" w:lineRule="auto"/>
        <w:jc w:val="both"/>
        <w:rPr>
          <w:rFonts w:cstheme="minorHAnsi"/>
        </w:rPr>
      </w:pPr>
      <w:r w:rsidRPr="00713B3E">
        <w:rPr>
          <w:rFonts w:cstheme="minorHAnsi"/>
        </w:rPr>
        <w:t xml:space="preserve">The role of specific </w:t>
      </w:r>
      <w:r>
        <w:rPr>
          <w:rFonts w:cstheme="minorHAnsi"/>
        </w:rPr>
        <w:t>immunosuppressants</w:t>
      </w:r>
      <w:r w:rsidRPr="00713B3E">
        <w:rPr>
          <w:rFonts w:cstheme="minorHAnsi"/>
        </w:rPr>
        <w:t xml:space="preserve"> on skin malignancies is unclear although limited evidence suggests that mycophenolic acid compounds may be less likely to cause NMSC compared to azathioprine.</w:t>
      </w:r>
      <w:r w:rsidRPr="00713B3E">
        <w:rPr>
          <w:rFonts w:cstheme="minorHAnsi"/>
          <w:color w:val="232323"/>
          <w:highlight w:val="white"/>
        </w:rPr>
        <w:t xml:space="preserve"> mTOR inhibitors may reduce the risk for NMSC in renal transplant patients compared with other immunosuppressive regimens</w:t>
      </w:r>
      <w:r w:rsidRPr="00713B3E">
        <w:rPr>
          <w:rFonts w:cstheme="minorHAnsi"/>
          <w:color w:val="232323"/>
          <w:highlight w:val="white"/>
          <w:vertAlign w:val="superscript"/>
        </w:rPr>
        <w:t>12</w:t>
      </w:r>
      <w:r w:rsidRPr="00713B3E">
        <w:rPr>
          <w:rFonts w:cstheme="minorHAnsi"/>
          <w:color w:val="232323"/>
          <w:highlight w:val="white"/>
        </w:rPr>
        <w:t xml:space="preserve">. The use of these agents should be carefully balanced with adverse effects and impact on graft function on a case-by-case basis. </w:t>
      </w:r>
    </w:p>
    <w:p w14:paraId="06565C09" w14:textId="5F0C329E" w:rsidR="00EB6556" w:rsidRPr="00713B3E" w:rsidRDefault="00EB6556" w:rsidP="00C959D0">
      <w:pPr>
        <w:pStyle w:val="Heading3"/>
        <w:rPr>
          <w:sz w:val="22"/>
          <w:szCs w:val="22"/>
          <w:highlight w:val="white"/>
        </w:rPr>
      </w:pPr>
      <w:bookmarkStart w:id="140" w:name="_Toc128330045"/>
      <w:r w:rsidRPr="00713B3E">
        <w:rPr>
          <w:highlight w:val="white"/>
        </w:rPr>
        <w:t>R</w:t>
      </w:r>
      <w:r w:rsidR="00C50D4D">
        <w:rPr>
          <w:highlight w:val="white"/>
        </w:rPr>
        <w:t>eferences</w:t>
      </w:r>
      <w:bookmarkEnd w:id="140"/>
      <w:r w:rsidRPr="00713B3E">
        <w:rPr>
          <w:highlight w:val="white"/>
        </w:rPr>
        <w:t xml:space="preserve"> </w:t>
      </w:r>
    </w:p>
    <w:p w14:paraId="3A158974" w14:textId="76D2BE8D" w:rsidR="00EB6556" w:rsidRPr="00713B3E" w:rsidRDefault="00EB6556" w:rsidP="0082468C">
      <w:pPr>
        <w:spacing w:after="0" w:line="276" w:lineRule="auto"/>
        <w:jc w:val="both"/>
        <w:rPr>
          <w:rFonts w:cstheme="minorHAnsi"/>
          <w:color w:val="212121"/>
          <w:highlight w:val="white"/>
        </w:rPr>
      </w:pPr>
      <w:r w:rsidRPr="00713B3E">
        <w:rPr>
          <w:rFonts w:cstheme="minorHAnsi"/>
          <w:color w:val="212121"/>
          <w:highlight w:val="white"/>
        </w:rPr>
        <w:t xml:space="preserve">1. </w:t>
      </w:r>
      <w:r w:rsidR="00D63B73">
        <w:rPr>
          <w:rFonts w:cstheme="minorHAnsi"/>
          <w:color w:val="212121"/>
          <w:highlight w:val="white"/>
        </w:rPr>
        <w:tab/>
      </w:r>
      <w:r w:rsidRPr="00713B3E">
        <w:rPr>
          <w:rFonts w:cstheme="minorHAnsi"/>
          <w:color w:val="212121"/>
          <w:highlight w:val="white"/>
        </w:rPr>
        <w:t>Euvrard S, Kanitakis J, Claudy A. Skin cancers after organ transplantation. N Engl J Med. 2003 Apr 24;348(17):1681-91. doi: 10.1056/NEJMra022137. PMID: 12711744.</w:t>
      </w:r>
    </w:p>
    <w:p w14:paraId="67470C38" w14:textId="0DE5251B" w:rsidR="00EB6556" w:rsidRPr="00713B3E" w:rsidRDefault="00EB6556" w:rsidP="0082468C">
      <w:pPr>
        <w:spacing w:after="0" w:line="276" w:lineRule="auto"/>
        <w:jc w:val="both"/>
        <w:rPr>
          <w:rFonts w:cstheme="minorHAnsi"/>
          <w:b/>
          <w:color w:val="232323"/>
          <w:highlight w:val="white"/>
        </w:rPr>
      </w:pPr>
      <w:r w:rsidRPr="00713B3E">
        <w:rPr>
          <w:rFonts w:cstheme="minorHAnsi"/>
          <w:color w:val="212121"/>
          <w:highlight w:val="white"/>
        </w:rPr>
        <w:t xml:space="preserve">2. </w:t>
      </w:r>
      <w:r w:rsidR="00D63B73">
        <w:rPr>
          <w:rFonts w:cstheme="minorHAnsi"/>
          <w:color w:val="212121"/>
          <w:highlight w:val="white"/>
        </w:rPr>
        <w:tab/>
      </w:r>
      <w:r w:rsidRPr="00713B3E">
        <w:rPr>
          <w:rFonts w:cstheme="minorHAnsi"/>
          <w:color w:val="212121"/>
          <w:highlight w:val="white"/>
        </w:rPr>
        <w:t>Greenberg JN, Zwald FO. Management of Skin Cancer in Solid-organ Transplant Recipients: A Multidisciplinary Approach. Dermatol Clin. 2011 Apr;29(2):231-41, ix. doi: 10.1016/j.det.2011.02.004. PMID: 21421148.</w:t>
      </w:r>
    </w:p>
    <w:p w14:paraId="2BAC9B75" w14:textId="2ACD3648" w:rsidR="00EB6556" w:rsidRPr="00713B3E" w:rsidRDefault="00EB6556" w:rsidP="0082468C">
      <w:pPr>
        <w:spacing w:after="0" w:line="276" w:lineRule="auto"/>
        <w:jc w:val="both"/>
        <w:rPr>
          <w:rFonts w:cstheme="minorHAnsi"/>
        </w:rPr>
      </w:pPr>
      <w:r w:rsidRPr="00713B3E">
        <w:rPr>
          <w:rFonts w:cstheme="minorHAnsi"/>
          <w:color w:val="212121"/>
          <w:highlight w:val="white"/>
        </w:rPr>
        <w:t xml:space="preserve">3. </w:t>
      </w:r>
      <w:r w:rsidR="00D63B73">
        <w:rPr>
          <w:rFonts w:cstheme="minorHAnsi"/>
          <w:color w:val="212121"/>
          <w:highlight w:val="white"/>
        </w:rPr>
        <w:tab/>
      </w:r>
      <w:r w:rsidRPr="00713B3E">
        <w:rPr>
          <w:rFonts w:cstheme="minorHAnsi"/>
          <w:color w:val="212121"/>
          <w:highlight w:val="white"/>
        </w:rPr>
        <w:t>Chen QP, Aw DC. Epidemiology of skin diseases in renal transplant recipients in a tertiary hospital. Ann Acad Med Singap. 2010 Dec;39(12):904-5. PMID: 21274486.</w:t>
      </w:r>
    </w:p>
    <w:p w14:paraId="17D4AC8D" w14:textId="1DA827D9" w:rsidR="00EB6556" w:rsidRPr="00713B3E" w:rsidRDefault="00EB6556" w:rsidP="0082468C">
      <w:pPr>
        <w:spacing w:after="0" w:line="276" w:lineRule="auto"/>
        <w:jc w:val="both"/>
        <w:rPr>
          <w:rFonts w:cstheme="minorHAnsi"/>
        </w:rPr>
      </w:pPr>
      <w:r w:rsidRPr="00713B3E">
        <w:rPr>
          <w:rFonts w:cstheme="minorHAnsi"/>
        </w:rPr>
        <w:t xml:space="preserve">4. </w:t>
      </w:r>
      <w:r w:rsidR="00D63B73">
        <w:rPr>
          <w:rFonts w:cstheme="minorHAnsi"/>
        </w:rPr>
        <w:tab/>
      </w:r>
      <w:r w:rsidRPr="00713B3E">
        <w:rPr>
          <w:rFonts w:cstheme="minorHAnsi"/>
        </w:rPr>
        <w:t xml:space="preserve">Garrido PM, Borges-Costa J. Skin disorders in renal transplant recipients: a retrospective study. </w:t>
      </w:r>
      <w:proofErr w:type="gramStart"/>
      <w:r w:rsidRPr="00713B3E">
        <w:rPr>
          <w:rFonts w:cstheme="minorHAnsi"/>
        </w:rPr>
        <w:t>An</w:t>
      </w:r>
      <w:proofErr w:type="gramEnd"/>
      <w:r w:rsidRPr="00713B3E">
        <w:rPr>
          <w:rFonts w:cstheme="minorHAnsi"/>
        </w:rPr>
        <w:t xml:space="preserve"> Bras Dermatol. 2017;92(5):638-41.</w:t>
      </w:r>
    </w:p>
    <w:p w14:paraId="54EC56EB" w14:textId="702DF0DB" w:rsidR="00EB6556" w:rsidRPr="008B135B" w:rsidRDefault="00EB6556" w:rsidP="0082468C">
      <w:pPr>
        <w:spacing w:after="0" w:line="276" w:lineRule="auto"/>
        <w:jc w:val="both"/>
        <w:rPr>
          <w:rFonts w:cstheme="minorHAnsi"/>
          <w:i/>
          <w:lang w:val="fr-FR"/>
        </w:rPr>
      </w:pPr>
      <w:r w:rsidRPr="00713B3E">
        <w:rPr>
          <w:rFonts w:cstheme="minorHAnsi"/>
        </w:rPr>
        <w:t xml:space="preserve">5. </w:t>
      </w:r>
      <w:r w:rsidR="00D63B73">
        <w:rPr>
          <w:rFonts w:cstheme="minorHAnsi"/>
        </w:rPr>
        <w:tab/>
      </w:r>
      <w:r w:rsidRPr="00713B3E">
        <w:rPr>
          <w:rFonts w:cstheme="minorHAnsi"/>
        </w:rPr>
        <w:t xml:space="preserve">British Transplantation Society. Management of the Failing Kidney Transplant. </w:t>
      </w:r>
      <w:r w:rsidRPr="008B135B">
        <w:rPr>
          <w:rFonts w:cstheme="minorHAnsi"/>
          <w:i/>
          <w:lang w:val="fr-FR"/>
        </w:rPr>
        <w:t xml:space="preserve">Available </w:t>
      </w:r>
      <w:proofErr w:type="gramStart"/>
      <w:r w:rsidRPr="008B135B">
        <w:rPr>
          <w:rFonts w:cstheme="minorHAnsi"/>
          <w:i/>
          <w:lang w:val="fr-FR"/>
        </w:rPr>
        <w:t>at:</w:t>
      </w:r>
      <w:r w:rsidRPr="008B135B">
        <w:rPr>
          <w:rFonts w:cstheme="minorHAnsi"/>
          <w:color w:val="0563C2"/>
          <w:lang w:val="fr-FR"/>
        </w:rPr>
        <w:t>https://btsorguk/wp-content/uploads/2016/09/13_BTS_Failing_Graft-1pdf</w:t>
      </w:r>
      <w:proofErr w:type="gramEnd"/>
      <w:r w:rsidRPr="008B135B">
        <w:rPr>
          <w:rFonts w:cstheme="minorHAnsi"/>
          <w:color w:val="0563C2"/>
          <w:lang w:val="fr-FR"/>
        </w:rPr>
        <w:t xml:space="preserve"> </w:t>
      </w:r>
    </w:p>
    <w:p w14:paraId="09CF49F8" w14:textId="2D7DFE9E" w:rsidR="00EB6556" w:rsidRPr="00713B3E" w:rsidRDefault="00EB6556" w:rsidP="0082468C">
      <w:pPr>
        <w:spacing w:after="0" w:line="276" w:lineRule="auto"/>
        <w:jc w:val="both"/>
        <w:rPr>
          <w:rFonts w:cstheme="minorHAnsi"/>
          <w:color w:val="232323"/>
          <w:highlight w:val="white"/>
        </w:rPr>
      </w:pPr>
      <w:r w:rsidRPr="00713B3E">
        <w:rPr>
          <w:rFonts w:cstheme="minorHAnsi"/>
          <w:color w:val="212121"/>
          <w:highlight w:val="white"/>
        </w:rPr>
        <w:lastRenderedPageBreak/>
        <w:t xml:space="preserve">6. </w:t>
      </w:r>
      <w:r w:rsidR="00D63B73">
        <w:rPr>
          <w:rFonts w:cstheme="minorHAnsi"/>
          <w:color w:val="212121"/>
          <w:highlight w:val="white"/>
        </w:rPr>
        <w:tab/>
      </w:r>
      <w:r w:rsidRPr="00713B3E">
        <w:rPr>
          <w:rFonts w:cstheme="minorHAnsi"/>
          <w:color w:val="212121"/>
          <w:highlight w:val="white"/>
        </w:rPr>
        <w:t>Baker R J et al, Post operative care in the kidney transplant recipient, British Transplantation Society, February 2017</w:t>
      </w:r>
    </w:p>
    <w:p w14:paraId="70556557" w14:textId="719ED2FD" w:rsidR="00EB6556" w:rsidRPr="00713B3E" w:rsidRDefault="00EB6556" w:rsidP="0082468C">
      <w:pPr>
        <w:spacing w:after="0" w:line="276" w:lineRule="auto"/>
        <w:jc w:val="both"/>
        <w:rPr>
          <w:rFonts w:cstheme="minorHAnsi"/>
        </w:rPr>
      </w:pPr>
      <w:r w:rsidRPr="00713B3E">
        <w:rPr>
          <w:rFonts w:cstheme="minorHAnsi"/>
        </w:rPr>
        <w:t xml:space="preserve">7. </w:t>
      </w:r>
      <w:r w:rsidR="00D63B73">
        <w:rPr>
          <w:rFonts w:cstheme="minorHAnsi"/>
        </w:rPr>
        <w:tab/>
      </w:r>
      <w:r w:rsidRPr="00713B3E">
        <w:rPr>
          <w:rFonts w:cstheme="minorHAnsi"/>
        </w:rPr>
        <w:t>Garg S, Carroll RP, Walker RG, Ramsay HM, Harden PN. Skin cancer surveillance in renal transplant</w:t>
      </w:r>
      <w:r w:rsidR="00D63B73">
        <w:rPr>
          <w:rFonts w:cstheme="minorHAnsi"/>
        </w:rPr>
        <w:t xml:space="preserve"> </w:t>
      </w:r>
      <w:r w:rsidRPr="00713B3E">
        <w:rPr>
          <w:rFonts w:cstheme="minorHAnsi"/>
        </w:rPr>
        <w:t xml:space="preserve">recipients: re-evaluation of U.K. practice and comparison with Australian experience. Br J Dermatol </w:t>
      </w:r>
      <w:proofErr w:type="gramStart"/>
      <w:r w:rsidRPr="00713B3E">
        <w:rPr>
          <w:rFonts w:cstheme="minorHAnsi"/>
        </w:rPr>
        <w:t>2009;160:177</w:t>
      </w:r>
      <w:proofErr w:type="gramEnd"/>
      <w:r w:rsidRPr="00713B3E">
        <w:rPr>
          <w:rFonts w:cstheme="minorHAnsi"/>
        </w:rPr>
        <w:t>-9.</w:t>
      </w:r>
    </w:p>
    <w:p w14:paraId="171DA7EE" w14:textId="77777777" w:rsidR="00EB6556" w:rsidRPr="00713B3E" w:rsidRDefault="00EB6556" w:rsidP="0082468C">
      <w:pPr>
        <w:spacing w:after="0" w:line="276" w:lineRule="auto"/>
        <w:jc w:val="both"/>
        <w:rPr>
          <w:rFonts w:cstheme="minorHAnsi"/>
        </w:rPr>
      </w:pPr>
      <w:r w:rsidRPr="00713B3E">
        <w:rPr>
          <w:rFonts w:cstheme="minorHAnsi"/>
        </w:rPr>
        <w:t>8. Ramsay HM, Reece SM, Fryer AA, Smith AG, Harden PN. Seven-year prospective study nonmelanoma skin cancer incidence in U.K. renal transplant recipients. Transplantation 2007;84: 437-</w:t>
      </w:r>
      <w:r>
        <w:rPr>
          <w:rFonts w:cstheme="minorHAnsi"/>
        </w:rPr>
        <w:t>439</w:t>
      </w:r>
    </w:p>
    <w:p w14:paraId="67C00989" w14:textId="1D036672" w:rsidR="00EB6556" w:rsidRPr="00713B3E" w:rsidRDefault="00EB6556" w:rsidP="0082468C">
      <w:pPr>
        <w:spacing w:after="0" w:line="276" w:lineRule="auto"/>
        <w:jc w:val="both"/>
        <w:rPr>
          <w:rFonts w:cstheme="minorHAnsi"/>
          <w:color w:val="212121"/>
          <w:highlight w:val="white"/>
        </w:rPr>
      </w:pPr>
      <w:r w:rsidRPr="00713B3E">
        <w:rPr>
          <w:rFonts w:cstheme="minorHAnsi"/>
          <w:color w:val="212121"/>
          <w:highlight w:val="white"/>
        </w:rPr>
        <w:t>9.</w:t>
      </w:r>
      <w:r w:rsidR="00D63B73">
        <w:rPr>
          <w:rFonts w:cstheme="minorHAnsi"/>
          <w:color w:val="212121"/>
          <w:highlight w:val="white"/>
        </w:rPr>
        <w:tab/>
      </w:r>
      <w:r w:rsidRPr="00713B3E">
        <w:rPr>
          <w:rFonts w:cstheme="minorHAnsi"/>
          <w:color w:val="212121"/>
          <w:highlight w:val="white"/>
        </w:rPr>
        <w:t xml:space="preserve">Zwald F, Leitenberger J, Zeitouni N, Soon S, Brewer J, Arron S, Bordeaux J, Chung C, Abdelmalek M, Billingsley E, Vidimos A, Stasko T. Recommendations for Solid Organ Transplantation for Transplant Candidates </w:t>
      </w:r>
      <w:proofErr w:type="gramStart"/>
      <w:r w:rsidRPr="00713B3E">
        <w:rPr>
          <w:rFonts w:cstheme="minorHAnsi"/>
          <w:color w:val="212121"/>
          <w:highlight w:val="white"/>
        </w:rPr>
        <w:t>With</w:t>
      </w:r>
      <w:proofErr w:type="gramEnd"/>
      <w:r w:rsidRPr="00713B3E">
        <w:rPr>
          <w:rFonts w:cstheme="minorHAnsi"/>
          <w:color w:val="212121"/>
          <w:highlight w:val="white"/>
        </w:rPr>
        <w:t xml:space="preserve"> a Pretransplant Diagnosis of Cutaneous Squamous Cell Carcinoma, Merkel Cell Carcinoma and Melanoma: A Consensus Opinion From the International Transplant Skin Cancer Collaborative (ITSCC). Am J Transplant. 2016 Feb;16(2):407-13. doi: 10.1111/ajt.13593. Epub 2016 Jan 28. PMID: 26820755.</w:t>
      </w:r>
    </w:p>
    <w:p w14:paraId="4D3AAFD3" w14:textId="65646681" w:rsidR="00EB6556" w:rsidRPr="00713B3E" w:rsidRDefault="00EB6556" w:rsidP="0082468C">
      <w:pPr>
        <w:spacing w:after="0" w:line="276" w:lineRule="auto"/>
        <w:jc w:val="both"/>
        <w:rPr>
          <w:rFonts w:cstheme="minorHAnsi"/>
          <w:color w:val="212121"/>
        </w:rPr>
      </w:pPr>
      <w:r w:rsidRPr="00713B3E">
        <w:rPr>
          <w:rFonts w:cstheme="minorHAnsi"/>
        </w:rPr>
        <w:t xml:space="preserve">10. </w:t>
      </w:r>
      <w:r w:rsidR="00D63B73">
        <w:rPr>
          <w:rFonts w:cstheme="minorHAnsi"/>
        </w:rPr>
        <w:tab/>
      </w:r>
      <w:hyperlink r:id="rId64" w:history="1">
        <w:r w:rsidR="00D63B73" w:rsidRPr="00DC3ED3">
          <w:rPr>
            <w:rStyle w:val="Hyperlink"/>
            <w:rFonts w:cstheme="minorHAnsi"/>
          </w:rPr>
          <w:t>https://www.kidneycareuk.org/news-and-campaigns/news/kidney-clinic-skin-deep-skin-cancer-aftertransplant</w:t>
        </w:r>
      </w:hyperlink>
    </w:p>
    <w:p w14:paraId="5F78106F" w14:textId="2CA873B3" w:rsidR="00EB6556" w:rsidRPr="00713B3E" w:rsidRDefault="00EB6556" w:rsidP="0082468C">
      <w:pPr>
        <w:spacing w:after="0" w:line="276" w:lineRule="auto"/>
        <w:jc w:val="both"/>
        <w:rPr>
          <w:rFonts w:cstheme="minorHAnsi"/>
        </w:rPr>
      </w:pPr>
      <w:r w:rsidRPr="00713B3E">
        <w:rPr>
          <w:rFonts w:cstheme="minorHAnsi"/>
        </w:rPr>
        <w:t>11.</w:t>
      </w:r>
      <w:r w:rsidR="00D63B73">
        <w:rPr>
          <w:rFonts w:cstheme="minorHAnsi"/>
        </w:rPr>
        <w:tab/>
      </w:r>
      <w:r w:rsidRPr="00713B3E">
        <w:rPr>
          <w:rFonts w:cstheme="minorHAnsi"/>
        </w:rPr>
        <w:t xml:space="preserve">Skin cancer screening in organ transplant centres in the United Kingdom: A national survey. </w:t>
      </w:r>
      <w:hyperlink r:id="rId65" w:anchor="auth-Andrea-Cordaro">
        <w:r w:rsidRPr="00713B3E">
          <w:rPr>
            <w:rFonts w:cstheme="minorHAnsi"/>
            <w:color w:val="000000"/>
          </w:rPr>
          <w:t>Andrea Cordaro</w:t>
        </w:r>
      </w:hyperlink>
      <w:r w:rsidRPr="00713B3E">
        <w:rPr>
          <w:rFonts w:cstheme="minorHAnsi"/>
        </w:rPr>
        <w:t>, </w:t>
      </w:r>
      <w:hyperlink r:id="rId66" w:anchor="auth-Thomas_D_-Dobbs">
        <w:r w:rsidRPr="00713B3E">
          <w:rPr>
            <w:rFonts w:cstheme="minorHAnsi"/>
            <w:color w:val="000000"/>
          </w:rPr>
          <w:t>Thomas D. Dobbs</w:t>
        </w:r>
      </w:hyperlink>
      <w:r w:rsidRPr="00713B3E">
        <w:rPr>
          <w:rFonts w:cstheme="minorHAnsi"/>
        </w:rPr>
        <w:t>, </w:t>
      </w:r>
      <w:hyperlink r:id="rId67" w:anchor="auth-John_A__G_-Gibson">
        <w:r w:rsidRPr="00713B3E">
          <w:rPr>
            <w:rFonts w:cstheme="minorHAnsi"/>
            <w:color w:val="000000"/>
          </w:rPr>
          <w:t>John A. G. Gibson</w:t>
        </w:r>
      </w:hyperlink>
      <w:r w:rsidRPr="00713B3E">
        <w:rPr>
          <w:rFonts w:cstheme="minorHAnsi"/>
        </w:rPr>
        <w:t>, </w:t>
      </w:r>
      <w:hyperlink r:id="rId68" w:anchor="auth-Sairan-Whitaker">
        <w:r w:rsidRPr="00713B3E">
          <w:rPr>
            <w:rFonts w:cstheme="minorHAnsi"/>
            <w:color w:val="000000"/>
          </w:rPr>
          <w:t>Sairan Whitaker</w:t>
        </w:r>
      </w:hyperlink>
      <w:r w:rsidRPr="00713B3E">
        <w:rPr>
          <w:rFonts w:cstheme="minorHAnsi"/>
        </w:rPr>
        <w:t> &amp; </w:t>
      </w:r>
      <w:hyperlink r:id="rId69" w:anchor="auth-Iain_S_-Whitaker">
        <w:r w:rsidRPr="00713B3E">
          <w:rPr>
            <w:rFonts w:cstheme="minorHAnsi"/>
            <w:color w:val="000000"/>
          </w:rPr>
          <w:t>Iain S. Whitaker</w:t>
        </w:r>
      </w:hyperlink>
      <w:r w:rsidRPr="00713B3E">
        <w:rPr>
          <w:rFonts w:cstheme="minorHAnsi"/>
        </w:rPr>
        <w:t xml:space="preserve">. </w:t>
      </w:r>
      <w:hyperlink r:id="rId70">
        <w:r w:rsidRPr="00713B3E">
          <w:rPr>
            <w:rFonts w:cstheme="minorHAnsi"/>
            <w:i/>
            <w:color w:val="000000"/>
            <w:u w:val="single"/>
          </w:rPr>
          <w:t>European Journal of Dermatology</w:t>
        </w:r>
      </w:hyperlink>
      <w:r w:rsidRPr="00713B3E">
        <w:rPr>
          <w:rFonts w:cstheme="minorHAnsi"/>
        </w:rPr>
        <w:t> </w:t>
      </w:r>
      <w:r w:rsidRPr="00713B3E">
        <w:rPr>
          <w:rFonts w:cstheme="minorHAnsi"/>
          <w:b/>
        </w:rPr>
        <w:t>volume 30</w:t>
      </w:r>
      <w:r w:rsidRPr="00713B3E">
        <w:rPr>
          <w:rFonts w:cstheme="minorHAnsi"/>
        </w:rPr>
        <w:t>, pages372–376 (2020)</w:t>
      </w:r>
    </w:p>
    <w:p w14:paraId="1C1B69EA" w14:textId="556B6CF9" w:rsidR="00EB6556" w:rsidRDefault="00EB6556" w:rsidP="0082468C">
      <w:pPr>
        <w:spacing w:after="0" w:line="276" w:lineRule="auto"/>
        <w:jc w:val="both"/>
        <w:rPr>
          <w:rFonts w:cstheme="minorHAnsi"/>
        </w:rPr>
      </w:pPr>
      <w:r w:rsidRPr="00713B3E">
        <w:rPr>
          <w:rFonts w:cstheme="minorHAnsi"/>
        </w:rPr>
        <w:t xml:space="preserve">12. </w:t>
      </w:r>
      <w:r w:rsidR="00D63B73">
        <w:rPr>
          <w:rFonts w:cstheme="minorHAnsi"/>
        </w:rPr>
        <w:tab/>
      </w:r>
      <w:r w:rsidRPr="00713B3E">
        <w:rPr>
          <w:rFonts w:cstheme="minorHAnsi"/>
        </w:rPr>
        <w:t>Robert P Carroll, Joanna Hester, Kathryn J Wood, Paul N Harden. Conversion to sirolimus in kidney transplant recipients with squamous cell cancer and changes in immune phenotype. Nephrol Dialy Transplant 2013 Feb;28(2): 462-465</w:t>
      </w:r>
    </w:p>
    <w:p w14:paraId="62BAE596" w14:textId="2A3BA80D" w:rsidR="00EB6556" w:rsidRDefault="00EB6556" w:rsidP="0082468C">
      <w:pPr>
        <w:spacing w:after="0" w:line="276" w:lineRule="auto"/>
        <w:jc w:val="both"/>
        <w:rPr>
          <w:rFonts w:cstheme="minorHAnsi"/>
        </w:rPr>
      </w:pPr>
      <w:r>
        <w:rPr>
          <w:rFonts w:cstheme="minorHAnsi"/>
        </w:rPr>
        <w:t xml:space="preserve">13. </w:t>
      </w:r>
      <w:r w:rsidR="00D63B73">
        <w:rPr>
          <w:rFonts w:cstheme="minorHAnsi"/>
        </w:rPr>
        <w:tab/>
      </w:r>
      <w:r>
        <w:rPr>
          <w:rFonts w:cstheme="minorHAnsi"/>
        </w:rPr>
        <w:t>Salgo R, Gossmann J, Schofer H, et al. Switch to a sirolimus-based immunosuppression in long-term renal transplant recipients: reduced rate of (pre-) malignancies and non</w:t>
      </w:r>
      <w:r w:rsidR="00D63B73">
        <w:rPr>
          <w:rFonts w:cstheme="minorHAnsi"/>
        </w:rPr>
        <w:t>-</w:t>
      </w:r>
      <w:r>
        <w:rPr>
          <w:rFonts w:cstheme="minorHAnsi"/>
        </w:rPr>
        <w:t xml:space="preserve">melanoma skin cancer in a prospective, randomised, assessor-blinded, controlled clinical trial. Am J </w:t>
      </w:r>
      <w:r w:rsidR="00D63B73">
        <w:rPr>
          <w:rFonts w:cstheme="minorHAnsi"/>
        </w:rPr>
        <w:t>Transplant</w:t>
      </w:r>
      <w:r>
        <w:rPr>
          <w:rFonts w:cstheme="minorHAnsi"/>
        </w:rPr>
        <w:t xml:space="preserve">. </w:t>
      </w:r>
      <w:proofErr w:type="gramStart"/>
      <w:r>
        <w:rPr>
          <w:rFonts w:cstheme="minorHAnsi"/>
        </w:rPr>
        <w:t>2010;10:1385</w:t>
      </w:r>
      <w:proofErr w:type="gramEnd"/>
      <w:r>
        <w:rPr>
          <w:rFonts w:cstheme="minorHAnsi"/>
        </w:rPr>
        <w:t>-93</w:t>
      </w:r>
    </w:p>
    <w:p w14:paraId="4DAAD41D" w14:textId="77777777" w:rsidR="00A85D14" w:rsidRPr="00713B3E" w:rsidRDefault="00A85D14" w:rsidP="0082468C">
      <w:pPr>
        <w:spacing w:after="0" w:line="276" w:lineRule="auto"/>
        <w:jc w:val="both"/>
        <w:rPr>
          <w:rFonts w:cstheme="minorHAnsi"/>
        </w:rPr>
      </w:pPr>
    </w:p>
    <w:p w14:paraId="37069272" w14:textId="77777777" w:rsidR="00EB6556" w:rsidRDefault="00EB6556" w:rsidP="00EB6556">
      <w:pPr>
        <w:pStyle w:val="Heading2"/>
      </w:pPr>
      <w:bookmarkStart w:id="141" w:name="_Toc128330046"/>
      <w:r>
        <w:t xml:space="preserve">9.2 </w:t>
      </w:r>
      <w:r w:rsidRPr="00713B3E">
        <w:t>BK Virus and Nephropathy</w:t>
      </w:r>
      <w:bookmarkEnd w:id="141"/>
      <w:r w:rsidRPr="00713B3E">
        <w:t xml:space="preserve"> </w:t>
      </w:r>
    </w:p>
    <w:p w14:paraId="122CE8EC" w14:textId="77777777" w:rsidR="00EB6556" w:rsidRPr="003212D6" w:rsidRDefault="00EB6556" w:rsidP="00C959D0">
      <w:pPr>
        <w:pStyle w:val="Heading3"/>
      </w:pPr>
      <w:bookmarkStart w:id="142" w:name="_Toc128330047"/>
      <w:r>
        <w:t>Statements of Recommendation</w:t>
      </w:r>
      <w:bookmarkEnd w:id="142"/>
    </w:p>
    <w:p w14:paraId="5FF0607A" w14:textId="77777777" w:rsidR="00EB6556" w:rsidRPr="00713B3E" w:rsidRDefault="00EB6556" w:rsidP="0082468C">
      <w:r w:rsidRPr="00713B3E">
        <w:t>We recommend</w:t>
      </w:r>
      <w:r>
        <w:t xml:space="preserve"> that</w:t>
      </w:r>
      <w:r w:rsidRPr="00713B3E">
        <w:t>:</w:t>
      </w:r>
    </w:p>
    <w:p w14:paraId="23B211BF" w14:textId="77777777" w:rsidR="00EB6556" w:rsidRPr="00713B3E" w:rsidRDefault="00EB6556">
      <w:pPr>
        <w:numPr>
          <w:ilvl w:val="0"/>
          <w:numId w:val="28"/>
        </w:numPr>
        <w:spacing w:line="276" w:lineRule="auto"/>
        <w:ind w:left="714" w:hanging="357"/>
        <w:jc w:val="both"/>
        <w:rPr>
          <w:rFonts w:cstheme="minorHAnsi"/>
          <w:b/>
          <w:color w:val="232323"/>
          <w:highlight w:val="white"/>
        </w:rPr>
      </w:pPr>
      <w:r w:rsidRPr="00713B3E">
        <w:rPr>
          <w:rFonts w:cstheme="minorHAnsi"/>
          <w:bCs/>
          <w:color w:val="232323"/>
          <w:highlight w:val="white"/>
        </w:rPr>
        <w:t>Re-transplantation can be safely considered in patients who develop BK viraemia or nephropathy in an earlier graft</w:t>
      </w:r>
      <w:r>
        <w:rPr>
          <w:rFonts w:cstheme="minorHAnsi"/>
          <w:bCs/>
          <w:color w:val="232323"/>
          <w:highlight w:val="white"/>
        </w:rPr>
        <w:t>.</w:t>
      </w:r>
      <w:r w:rsidRPr="00713B3E">
        <w:rPr>
          <w:rFonts w:cstheme="minorHAnsi"/>
          <w:b/>
          <w:color w:val="232323"/>
          <w:highlight w:val="white"/>
        </w:rPr>
        <w:t xml:space="preserve"> </w:t>
      </w:r>
      <w:r w:rsidRPr="00C50D4D">
        <w:rPr>
          <w:rFonts w:cstheme="minorHAnsi"/>
          <w:bCs/>
          <w:color w:val="232323"/>
          <w:highlight w:val="white"/>
        </w:rPr>
        <w:t>(2C)</w:t>
      </w:r>
    </w:p>
    <w:p w14:paraId="015F95AC" w14:textId="12D34755" w:rsidR="00EB6556" w:rsidRDefault="00EB6556">
      <w:pPr>
        <w:numPr>
          <w:ilvl w:val="0"/>
          <w:numId w:val="28"/>
        </w:numPr>
        <w:spacing w:line="276" w:lineRule="auto"/>
        <w:ind w:left="714" w:hanging="357"/>
        <w:jc w:val="both"/>
        <w:rPr>
          <w:rFonts w:cstheme="minorHAnsi"/>
          <w:bCs/>
          <w:color w:val="232323"/>
          <w:highlight w:val="white"/>
        </w:rPr>
      </w:pPr>
      <w:r>
        <w:rPr>
          <w:rFonts w:cstheme="minorHAnsi"/>
          <w:bCs/>
          <w:color w:val="232323"/>
          <w:highlight w:val="white"/>
        </w:rPr>
        <w:t>Clearance of viraemia is</w:t>
      </w:r>
      <w:r w:rsidRPr="00713B3E">
        <w:rPr>
          <w:rFonts w:cstheme="minorHAnsi"/>
          <w:bCs/>
          <w:color w:val="232323"/>
          <w:highlight w:val="white"/>
        </w:rPr>
        <w:t xml:space="preserve"> desirable prior to </w:t>
      </w:r>
      <w:r>
        <w:rPr>
          <w:rFonts w:cstheme="minorHAnsi"/>
          <w:bCs/>
          <w:color w:val="232323"/>
          <w:highlight w:val="white"/>
        </w:rPr>
        <w:t>re-transplantation.</w:t>
      </w:r>
      <w:r w:rsidRPr="00713B3E">
        <w:rPr>
          <w:rFonts w:cstheme="minorHAnsi"/>
          <w:bCs/>
          <w:color w:val="232323"/>
          <w:highlight w:val="white"/>
        </w:rPr>
        <w:t xml:space="preserve"> </w:t>
      </w:r>
      <w:r w:rsidRPr="00C50D4D">
        <w:rPr>
          <w:rFonts w:cstheme="minorHAnsi"/>
          <w:bCs/>
          <w:color w:val="232323"/>
          <w:highlight w:val="white"/>
        </w:rPr>
        <w:t>(2C)</w:t>
      </w:r>
    </w:p>
    <w:p w14:paraId="4AFD8D53" w14:textId="0AB64282" w:rsidR="00EB6556" w:rsidRDefault="00EB6556" w:rsidP="0082468C">
      <w:r w:rsidRPr="00713B3E">
        <w:t>Recommendations for audit and research</w:t>
      </w:r>
      <w:r w:rsidR="0082468C">
        <w:t>:</w:t>
      </w:r>
    </w:p>
    <w:p w14:paraId="7DC19665" w14:textId="7713D440" w:rsidR="00C50D4D" w:rsidRPr="00C50D4D" w:rsidRDefault="00C50D4D" w:rsidP="00346D2E">
      <w:pPr>
        <w:pStyle w:val="ListParagraph"/>
        <w:numPr>
          <w:ilvl w:val="0"/>
          <w:numId w:val="28"/>
        </w:numPr>
        <w:rPr>
          <w:highlight w:val="white"/>
        </w:rPr>
      </w:pPr>
      <w:r w:rsidRPr="00713B3E">
        <w:rPr>
          <w:highlight w:val="white"/>
        </w:rPr>
        <w:t>Prevalence and long</w:t>
      </w:r>
      <w:r>
        <w:rPr>
          <w:highlight w:val="white"/>
        </w:rPr>
        <w:t>-</w:t>
      </w:r>
      <w:r w:rsidRPr="00713B3E">
        <w:rPr>
          <w:highlight w:val="white"/>
        </w:rPr>
        <w:t>term outcomes of BK viraemia and BK nephropathy</w:t>
      </w:r>
      <w:r>
        <w:rPr>
          <w:highlight w:val="white"/>
        </w:rPr>
        <w:t xml:space="preserve"> (BKVN)</w:t>
      </w:r>
      <w:r w:rsidRPr="00713B3E">
        <w:rPr>
          <w:highlight w:val="white"/>
        </w:rPr>
        <w:t xml:space="preserve"> in renal transplant patients and following re-transplantation</w:t>
      </w:r>
      <w:r w:rsidR="0082468C">
        <w:rPr>
          <w:highlight w:val="white"/>
        </w:rPr>
        <w:t>.</w:t>
      </w:r>
    </w:p>
    <w:p w14:paraId="77D59962" w14:textId="6E13F2E0" w:rsidR="00EB6556" w:rsidRDefault="00EB6556" w:rsidP="00C959D0">
      <w:pPr>
        <w:pStyle w:val="Heading3"/>
      </w:pPr>
      <w:bookmarkStart w:id="143" w:name="_Toc128330048"/>
      <w:r w:rsidRPr="00713B3E">
        <w:t>Rationale</w:t>
      </w:r>
      <w:bookmarkEnd w:id="143"/>
    </w:p>
    <w:p w14:paraId="586A39B7" w14:textId="202566ED" w:rsidR="00EB6556" w:rsidRPr="00713B3E" w:rsidRDefault="00EB6556" w:rsidP="00C50D4D">
      <w:pPr>
        <w:spacing w:line="276" w:lineRule="auto"/>
        <w:jc w:val="both"/>
        <w:rPr>
          <w:rFonts w:cstheme="minorHAnsi"/>
          <w:color w:val="232323"/>
          <w:highlight w:val="white"/>
        </w:rPr>
      </w:pPr>
      <w:r w:rsidRPr="00713B3E">
        <w:rPr>
          <w:rFonts w:cstheme="minorHAnsi"/>
          <w:color w:val="232323"/>
          <w:highlight w:val="white"/>
        </w:rPr>
        <w:t>The</w:t>
      </w:r>
      <w:r w:rsidR="00D63B73">
        <w:rPr>
          <w:rFonts w:cstheme="minorHAnsi"/>
          <w:color w:val="232323"/>
          <w:highlight w:val="white"/>
        </w:rPr>
        <w:t xml:space="preserve"> BK</w:t>
      </w:r>
      <w:r w:rsidRPr="00713B3E">
        <w:rPr>
          <w:rFonts w:cstheme="minorHAnsi"/>
          <w:color w:val="232323"/>
          <w:highlight w:val="white"/>
        </w:rPr>
        <w:t xml:space="preserve"> polyoma virus infection can cause viraemia, BKV nephropathy and transplant ureteric stenosis in </w:t>
      </w:r>
      <w:r>
        <w:rPr>
          <w:rFonts w:cstheme="minorHAnsi"/>
          <w:color w:val="232323"/>
          <w:highlight w:val="white"/>
        </w:rPr>
        <w:t xml:space="preserve">the </w:t>
      </w:r>
      <w:r w:rsidRPr="00713B3E">
        <w:rPr>
          <w:rFonts w:cstheme="minorHAnsi"/>
          <w:color w:val="232323"/>
          <w:highlight w:val="white"/>
        </w:rPr>
        <w:t>kidney transplant patient. The reported prevalence is up to 10% with 15-20% of patients losing their allograft due to BKV nephropathy</w:t>
      </w:r>
      <w:r w:rsidRPr="00713B3E">
        <w:rPr>
          <w:rFonts w:cstheme="minorHAnsi"/>
          <w:color w:val="232323"/>
          <w:highlight w:val="white"/>
          <w:vertAlign w:val="superscript"/>
        </w:rPr>
        <w:t>1</w:t>
      </w:r>
      <w:r w:rsidRPr="00713B3E">
        <w:rPr>
          <w:rFonts w:cstheme="minorHAnsi"/>
          <w:color w:val="232323"/>
          <w:highlight w:val="white"/>
        </w:rPr>
        <w:t xml:space="preserve">. </w:t>
      </w:r>
      <w:r>
        <w:rPr>
          <w:rFonts w:cstheme="minorHAnsi"/>
          <w:color w:val="232323"/>
          <w:highlight w:val="white"/>
        </w:rPr>
        <w:t>Reduction in immunosuppression is the mainstay of BKVN treatment.</w:t>
      </w:r>
      <w:r>
        <w:rPr>
          <w:rFonts w:cstheme="minorHAnsi"/>
          <w:color w:val="232323"/>
          <w:highlight w:val="white"/>
          <w:vertAlign w:val="superscript"/>
        </w:rPr>
        <w:t xml:space="preserve"> </w:t>
      </w:r>
      <w:r>
        <w:rPr>
          <w:rFonts w:cstheme="minorHAnsi"/>
          <w:color w:val="232323"/>
          <w:highlight w:val="white"/>
        </w:rPr>
        <w:t xml:space="preserve">Usual practice is </w:t>
      </w:r>
      <w:r w:rsidRPr="00713B3E">
        <w:rPr>
          <w:rFonts w:cstheme="minorHAnsi"/>
          <w:color w:val="232323"/>
          <w:highlight w:val="white"/>
        </w:rPr>
        <w:t xml:space="preserve">withdrawal of antiproliferative agents such as mycophenolate mofetil and azathioprine and maintaining tacrolimus levels between 4-6µg/L (or Ciclosporin A 50-100 µg/L) with </w:t>
      </w:r>
      <w:r w:rsidRPr="00713B3E">
        <w:rPr>
          <w:rFonts w:cstheme="minorHAnsi"/>
          <w:color w:val="232323"/>
          <w:highlight w:val="white"/>
        </w:rPr>
        <w:lastRenderedPageBreak/>
        <w:t>or without prednisolone</w:t>
      </w:r>
      <w:r>
        <w:rPr>
          <w:rFonts w:cstheme="minorHAnsi"/>
          <w:color w:val="232323"/>
          <w:highlight w:val="white"/>
        </w:rPr>
        <w:t xml:space="preserve"> but evidence supporting this is limited</w:t>
      </w:r>
      <w:r>
        <w:rPr>
          <w:rFonts w:cstheme="minorHAnsi"/>
          <w:color w:val="232323"/>
          <w:highlight w:val="white"/>
          <w:vertAlign w:val="superscript"/>
        </w:rPr>
        <w:t>2,3,4</w:t>
      </w:r>
      <w:r w:rsidRPr="00713B3E">
        <w:rPr>
          <w:rFonts w:cstheme="minorHAnsi"/>
          <w:color w:val="232323"/>
          <w:highlight w:val="white"/>
        </w:rPr>
        <w:t>.</w:t>
      </w:r>
      <w:r w:rsidRPr="00713B3E" w:rsidDel="001E0089">
        <w:rPr>
          <w:rFonts w:cstheme="minorHAnsi"/>
          <w:color w:val="232323"/>
          <w:highlight w:val="white"/>
        </w:rPr>
        <w:t xml:space="preserve"> </w:t>
      </w:r>
      <w:r>
        <w:rPr>
          <w:rFonts w:cstheme="minorHAnsi"/>
          <w:color w:val="232323"/>
          <w:highlight w:val="white"/>
        </w:rPr>
        <w:t>S</w:t>
      </w:r>
      <w:r w:rsidRPr="00713B3E">
        <w:rPr>
          <w:rFonts w:cstheme="minorHAnsi"/>
          <w:color w:val="232323"/>
          <w:highlight w:val="white"/>
        </w:rPr>
        <w:t>pecific agents such as quinolones, leflunomide and cidofovir have been used to treat BKV n</w:t>
      </w:r>
      <w:r>
        <w:rPr>
          <w:rFonts w:cstheme="minorHAnsi"/>
          <w:color w:val="232323"/>
          <w:highlight w:val="white"/>
        </w:rPr>
        <w:t>e</w:t>
      </w:r>
      <w:r w:rsidRPr="00713B3E">
        <w:rPr>
          <w:rFonts w:cstheme="minorHAnsi"/>
          <w:color w:val="232323"/>
          <w:highlight w:val="white"/>
        </w:rPr>
        <w:t xml:space="preserve">phropathy </w:t>
      </w:r>
      <w:r>
        <w:rPr>
          <w:rFonts w:cstheme="minorHAnsi"/>
          <w:color w:val="232323"/>
          <w:highlight w:val="white"/>
        </w:rPr>
        <w:t>with limited evidence.</w:t>
      </w:r>
      <w:r>
        <w:rPr>
          <w:rFonts w:cstheme="minorHAnsi"/>
          <w:color w:val="232323"/>
          <w:highlight w:val="white"/>
          <w:vertAlign w:val="superscript"/>
        </w:rPr>
        <w:t>2</w:t>
      </w:r>
      <w:r w:rsidRPr="00713B3E">
        <w:rPr>
          <w:rFonts w:cstheme="minorHAnsi"/>
          <w:color w:val="232323"/>
          <w:highlight w:val="white"/>
        </w:rPr>
        <w:t xml:space="preserve"> Leflunomide, an immunosuppressive agent with antiviral activity, is often a preferred choice due to better tolerability with no nephrotoxicity</w:t>
      </w:r>
      <w:r>
        <w:rPr>
          <w:rFonts w:cstheme="minorHAnsi"/>
          <w:color w:val="232323"/>
          <w:highlight w:val="white"/>
          <w:vertAlign w:val="superscript"/>
        </w:rPr>
        <w:t>5</w:t>
      </w:r>
      <w:r w:rsidRPr="00713B3E">
        <w:rPr>
          <w:rFonts w:cstheme="minorHAnsi"/>
          <w:color w:val="232323"/>
          <w:highlight w:val="white"/>
        </w:rPr>
        <w:t xml:space="preserve">. </w:t>
      </w:r>
    </w:p>
    <w:p w14:paraId="7E34F7B8" w14:textId="17ADA71A" w:rsidR="00EB6556" w:rsidRPr="00713B3E" w:rsidRDefault="00EB6556" w:rsidP="00C50D4D">
      <w:pPr>
        <w:spacing w:line="276" w:lineRule="auto"/>
        <w:jc w:val="both"/>
        <w:rPr>
          <w:rFonts w:cstheme="minorHAnsi"/>
          <w:color w:val="232323"/>
          <w:highlight w:val="white"/>
        </w:rPr>
      </w:pPr>
      <w:r w:rsidRPr="00713B3E">
        <w:rPr>
          <w:rFonts w:cstheme="minorHAnsi"/>
          <w:color w:val="232323"/>
          <w:highlight w:val="white"/>
        </w:rPr>
        <w:t xml:space="preserve">In the context of the failing renal allograft, the indications for screening and treatment strategy largely remain the same. There is no evidence that allograft loss due to BKN adversely affects </w:t>
      </w:r>
      <w:r>
        <w:rPr>
          <w:rFonts w:cstheme="minorHAnsi"/>
          <w:color w:val="232323"/>
          <w:highlight w:val="white"/>
        </w:rPr>
        <w:t xml:space="preserve">the </w:t>
      </w:r>
      <w:r w:rsidRPr="00713B3E">
        <w:rPr>
          <w:rFonts w:cstheme="minorHAnsi"/>
          <w:color w:val="232323"/>
          <w:highlight w:val="white"/>
        </w:rPr>
        <w:t>outcome of subsequent graft</w:t>
      </w:r>
      <w:r>
        <w:rPr>
          <w:rFonts w:cstheme="minorHAnsi"/>
          <w:color w:val="232323"/>
          <w:highlight w:val="white"/>
        </w:rPr>
        <w:t xml:space="preserve"> </w:t>
      </w:r>
      <w:r>
        <w:rPr>
          <w:rFonts w:cstheme="minorHAnsi"/>
          <w:color w:val="232323"/>
          <w:highlight w:val="white"/>
          <w:vertAlign w:val="superscript"/>
        </w:rPr>
        <w:t>7</w:t>
      </w:r>
      <w:r w:rsidRPr="00713B3E">
        <w:rPr>
          <w:rFonts w:cstheme="minorHAnsi"/>
          <w:color w:val="232323"/>
          <w:highlight w:val="white"/>
        </w:rPr>
        <w:t xml:space="preserve">. </w:t>
      </w:r>
      <w:r>
        <w:rPr>
          <w:rFonts w:cstheme="minorHAnsi"/>
          <w:color w:val="232323"/>
          <w:highlight w:val="white"/>
        </w:rPr>
        <w:t xml:space="preserve">Clearance of </w:t>
      </w:r>
      <w:r w:rsidRPr="00713B3E">
        <w:rPr>
          <w:rFonts w:cstheme="minorHAnsi"/>
          <w:color w:val="232323"/>
          <w:highlight w:val="white"/>
        </w:rPr>
        <w:t>viraemia</w:t>
      </w:r>
      <w:r>
        <w:rPr>
          <w:rFonts w:cstheme="minorHAnsi"/>
          <w:color w:val="232323"/>
          <w:highlight w:val="white"/>
        </w:rPr>
        <w:t xml:space="preserve"> is recommended prior to re-</w:t>
      </w:r>
      <w:r w:rsidRPr="00713B3E">
        <w:rPr>
          <w:rFonts w:cstheme="minorHAnsi"/>
          <w:color w:val="232323"/>
          <w:highlight w:val="white"/>
        </w:rPr>
        <w:t>transplantation</w:t>
      </w:r>
      <w:r>
        <w:rPr>
          <w:rFonts w:cstheme="minorHAnsi"/>
          <w:color w:val="232323"/>
          <w:highlight w:val="white"/>
        </w:rPr>
        <w:t xml:space="preserve"> </w:t>
      </w:r>
      <w:r>
        <w:rPr>
          <w:rFonts w:cstheme="minorHAnsi"/>
          <w:color w:val="232323"/>
          <w:highlight w:val="white"/>
          <w:vertAlign w:val="superscript"/>
        </w:rPr>
        <w:t>2</w:t>
      </w:r>
      <w:r w:rsidRPr="00713B3E">
        <w:rPr>
          <w:rFonts w:cstheme="minorHAnsi"/>
          <w:color w:val="232323"/>
          <w:highlight w:val="white"/>
        </w:rPr>
        <w:t xml:space="preserve">, </w:t>
      </w:r>
      <w:r>
        <w:rPr>
          <w:rFonts w:cstheme="minorHAnsi"/>
          <w:color w:val="232323"/>
          <w:highlight w:val="white"/>
        </w:rPr>
        <w:t xml:space="preserve">but the presence of a low-grade </w:t>
      </w:r>
      <w:r w:rsidRPr="00713B3E">
        <w:rPr>
          <w:rFonts w:cstheme="minorHAnsi"/>
          <w:color w:val="232323"/>
          <w:highlight w:val="white"/>
        </w:rPr>
        <w:t>viraemia</w:t>
      </w:r>
      <w:r>
        <w:rPr>
          <w:rFonts w:cstheme="minorHAnsi"/>
          <w:color w:val="232323"/>
          <w:highlight w:val="white"/>
        </w:rPr>
        <w:t xml:space="preserve"> </w:t>
      </w:r>
      <w:r w:rsidR="0082468C">
        <w:rPr>
          <w:rFonts w:cstheme="minorHAnsi"/>
          <w:color w:val="232323"/>
          <w:highlight w:val="white"/>
        </w:rPr>
        <w:t>despite</w:t>
      </w:r>
      <w:r>
        <w:rPr>
          <w:rFonts w:cstheme="minorHAnsi"/>
          <w:color w:val="232323"/>
          <w:highlight w:val="white"/>
        </w:rPr>
        <w:t xml:space="preserve"> appropriate reductions or withdrawal of immunosuppression in the context of failing transplant kidney </w:t>
      </w:r>
      <w:r w:rsidRPr="00713B3E">
        <w:rPr>
          <w:rFonts w:cstheme="minorHAnsi"/>
          <w:color w:val="232323"/>
          <w:highlight w:val="white"/>
        </w:rPr>
        <w:t>is not a</w:t>
      </w:r>
      <w:r>
        <w:rPr>
          <w:rFonts w:cstheme="minorHAnsi"/>
          <w:color w:val="232323"/>
          <w:highlight w:val="white"/>
        </w:rPr>
        <w:t>n absolute</w:t>
      </w:r>
      <w:r w:rsidRPr="00713B3E">
        <w:rPr>
          <w:rFonts w:cstheme="minorHAnsi"/>
          <w:color w:val="232323"/>
          <w:highlight w:val="white"/>
        </w:rPr>
        <w:t xml:space="preserve"> contra-indication for re-transplantation</w:t>
      </w:r>
      <w:r>
        <w:rPr>
          <w:rFonts w:cstheme="minorHAnsi"/>
          <w:color w:val="232323"/>
          <w:highlight w:val="white"/>
          <w:vertAlign w:val="superscript"/>
        </w:rPr>
        <w:t>6</w:t>
      </w:r>
      <w:r w:rsidRPr="00713B3E">
        <w:rPr>
          <w:rFonts w:cstheme="minorHAnsi"/>
          <w:color w:val="232323"/>
          <w:highlight w:val="white"/>
        </w:rPr>
        <w:t>. Currently</w:t>
      </w:r>
      <w:r>
        <w:rPr>
          <w:rFonts w:cstheme="minorHAnsi"/>
          <w:color w:val="232323"/>
          <w:highlight w:val="white"/>
        </w:rPr>
        <w:t>,</w:t>
      </w:r>
      <w:r w:rsidRPr="00713B3E">
        <w:rPr>
          <w:rFonts w:cstheme="minorHAnsi"/>
          <w:color w:val="232323"/>
          <w:highlight w:val="white"/>
        </w:rPr>
        <w:t xml:space="preserve"> there is not enough evidence to support graft nephrectomy to eliminate a potential reservoir of BKV and a source of future infection prior to re-transplantation.</w:t>
      </w:r>
    </w:p>
    <w:p w14:paraId="511050AB" w14:textId="6EC44661" w:rsidR="00EB6556" w:rsidRPr="00067F1C" w:rsidRDefault="00C50D4D" w:rsidP="00C959D0">
      <w:pPr>
        <w:pStyle w:val="Heading3"/>
        <w:rPr>
          <w:highlight w:val="white"/>
        </w:rPr>
      </w:pPr>
      <w:bookmarkStart w:id="144" w:name="_Toc128330049"/>
      <w:r>
        <w:rPr>
          <w:highlight w:val="white"/>
        </w:rPr>
        <w:t>References</w:t>
      </w:r>
      <w:bookmarkEnd w:id="144"/>
    </w:p>
    <w:p w14:paraId="79F38FA7" w14:textId="55EA5934" w:rsidR="00EB6556" w:rsidRDefault="00EB6556" w:rsidP="0082468C">
      <w:pPr>
        <w:spacing w:after="0" w:line="276" w:lineRule="auto"/>
        <w:jc w:val="both"/>
        <w:rPr>
          <w:rFonts w:cstheme="minorHAnsi"/>
          <w:color w:val="212121"/>
          <w:highlight w:val="white"/>
        </w:rPr>
      </w:pPr>
      <w:r w:rsidRPr="00713B3E">
        <w:rPr>
          <w:rFonts w:cstheme="minorHAnsi"/>
          <w:color w:val="212121"/>
          <w:highlight w:val="white"/>
        </w:rPr>
        <w:t xml:space="preserve">1. </w:t>
      </w:r>
      <w:r w:rsidR="00D63B73">
        <w:rPr>
          <w:rFonts w:cstheme="minorHAnsi"/>
          <w:color w:val="212121"/>
          <w:highlight w:val="white"/>
        </w:rPr>
        <w:tab/>
      </w:r>
      <w:r w:rsidRPr="00713B3E">
        <w:rPr>
          <w:rFonts w:cstheme="minorHAnsi"/>
          <w:color w:val="212121"/>
          <w:highlight w:val="white"/>
        </w:rPr>
        <w:t>Renal association and British Transplantation Society clinical practice guideline on post-operative care in the kidney transplant recipient. Richard J Baker, Patrick B Mark, Rajan K Patel, Kate K Stevens, Nicholas Palmer. BMC Nephrol. 2017; 18: 174</w:t>
      </w:r>
    </w:p>
    <w:p w14:paraId="0FDAEA37" w14:textId="1A6D0832" w:rsidR="00EB6556" w:rsidRDefault="00EB6556" w:rsidP="0082468C">
      <w:pPr>
        <w:spacing w:after="0" w:line="276" w:lineRule="auto"/>
        <w:jc w:val="both"/>
        <w:rPr>
          <w:rFonts w:cstheme="minorHAnsi"/>
          <w:color w:val="212121"/>
          <w:highlight w:val="white"/>
        </w:rPr>
      </w:pPr>
      <w:r>
        <w:rPr>
          <w:rFonts w:cstheme="minorHAnsi"/>
          <w:color w:val="212121"/>
          <w:highlight w:val="white"/>
        </w:rPr>
        <w:t xml:space="preserve">2. </w:t>
      </w:r>
      <w:r w:rsidR="00D63B73">
        <w:rPr>
          <w:rFonts w:cstheme="minorHAnsi"/>
          <w:color w:val="212121"/>
          <w:highlight w:val="white"/>
        </w:rPr>
        <w:tab/>
      </w:r>
      <w:r>
        <w:rPr>
          <w:rFonts w:cstheme="minorHAnsi"/>
          <w:color w:val="212121"/>
          <w:highlight w:val="white"/>
        </w:rPr>
        <w:t>BK virus infection: an update on diagnosis and treatment. Deirdre Sawinski, Simin Goral. Nephrol Dial Transplant. 2015;30: 209-217</w:t>
      </w:r>
    </w:p>
    <w:p w14:paraId="5C57ECDC" w14:textId="63E013A5" w:rsidR="00EB6556" w:rsidRDefault="00EB6556" w:rsidP="0082468C">
      <w:pPr>
        <w:spacing w:after="0" w:line="276" w:lineRule="auto"/>
        <w:jc w:val="both"/>
        <w:rPr>
          <w:rFonts w:cstheme="minorHAnsi"/>
          <w:color w:val="212121"/>
          <w:highlight w:val="white"/>
        </w:rPr>
      </w:pPr>
      <w:r>
        <w:rPr>
          <w:rFonts w:cstheme="minorHAnsi"/>
          <w:color w:val="212121"/>
          <w:highlight w:val="white"/>
        </w:rPr>
        <w:t xml:space="preserve">3. </w:t>
      </w:r>
      <w:r w:rsidR="00D63B73">
        <w:rPr>
          <w:rFonts w:cstheme="minorHAnsi"/>
          <w:color w:val="212121"/>
          <w:highlight w:val="white"/>
        </w:rPr>
        <w:tab/>
      </w:r>
      <w:r>
        <w:rPr>
          <w:rFonts w:cstheme="minorHAnsi"/>
          <w:color w:val="212121"/>
          <w:highlight w:val="white"/>
        </w:rPr>
        <w:t>Weiss AS, Gralla J, Chan L, et al. Aggressive immunosuppression minimisation reduces graft loss following diagnosis of BK virus-associated nephropathy: a comparison of two reduction strategies. Clin J Am Soc Nephrol. 2008; 3: 1812-1819</w:t>
      </w:r>
    </w:p>
    <w:p w14:paraId="3426AC8F" w14:textId="265E8499" w:rsidR="00EB6556" w:rsidRPr="00713B3E" w:rsidRDefault="00EB6556" w:rsidP="0082468C">
      <w:pPr>
        <w:spacing w:after="0" w:line="276" w:lineRule="auto"/>
        <w:jc w:val="both"/>
        <w:rPr>
          <w:rFonts w:cstheme="minorHAnsi"/>
          <w:color w:val="212121"/>
          <w:highlight w:val="white"/>
        </w:rPr>
      </w:pPr>
      <w:r>
        <w:rPr>
          <w:rFonts w:cstheme="minorHAnsi"/>
          <w:color w:val="212121"/>
          <w:highlight w:val="white"/>
        </w:rPr>
        <w:t xml:space="preserve">4. </w:t>
      </w:r>
      <w:r w:rsidR="00D63B73">
        <w:rPr>
          <w:rFonts w:cstheme="minorHAnsi"/>
          <w:color w:val="212121"/>
          <w:highlight w:val="white"/>
        </w:rPr>
        <w:tab/>
      </w:r>
      <w:r>
        <w:rPr>
          <w:rFonts w:cstheme="minorHAnsi"/>
          <w:color w:val="212121"/>
          <w:highlight w:val="white"/>
        </w:rPr>
        <w:t xml:space="preserve">Hardinger KL, Koch MJ, Bohl DJ et al. BK virus and the impact of pre-emptive immunosuppression reduction: </w:t>
      </w:r>
      <w:proofErr w:type="gramStart"/>
      <w:r>
        <w:rPr>
          <w:rFonts w:cstheme="minorHAnsi"/>
          <w:color w:val="212121"/>
          <w:highlight w:val="white"/>
        </w:rPr>
        <w:t>5 year</w:t>
      </w:r>
      <w:proofErr w:type="gramEnd"/>
      <w:r>
        <w:rPr>
          <w:rFonts w:cstheme="minorHAnsi"/>
          <w:color w:val="212121"/>
          <w:highlight w:val="white"/>
        </w:rPr>
        <w:t xml:space="preserve"> results. Am J Transplant. 2010; 10: 407-415</w:t>
      </w:r>
    </w:p>
    <w:p w14:paraId="4AB6AE5C" w14:textId="1311AB64" w:rsidR="00EB6556" w:rsidRPr="00713B3E" w:rsidRDefault="00EB6556" w:rsidP="0082468C">
      <w:pPr>
        <w:spacing w:after="0" w:line="276" w:lineRule="auto"/>
        <w:jc w:val="both"/>
        <w:rPr>
          <w:rFonts w:cstheme="minorHAnsi"/>
          <w:color w:val="212121"/>
          <w:highlight w:val="white"/>
        </w:rPr>
      </w:pPr>
      <w:r>
        <w:rPr>
          <w:rFonts w:cstheme="minorHAnsi"/>
          <w:color w:val="212121"/>
          <w:highlight w:val="white"/>
        </w:rPr>
        <w:t>5</w:t>
      </w:r>
      <w:r w:rsidRPr="00713B3E">
        <w:rPr>
          <w:rFonts w:cstheme="minorHAnsi"/>
          <w:color w:val="212121"/>
          <w:highlight w:val="white"/>
        </w:rPr>
        <w:t xml:space="preserve">. </w:t>
      </w:r>
      <w:r w:rsidR="00D63B73">
        <w:rPr>
          <w:rFonts w:cstheme="minorHAnsi"/>
          <w:color w:val="212121"/>
          <w:highlight w:val="white"/>
        </w:rPr>
        <w:tab/>
      </w:r>
      <w:r w:rsidRPr="00713B3E">
        <w:rPr>
          <w:rFonts w:cstheme="minorHAnsi"/>
          <w:color w:val="212121"/>
          <w:highlight w:val="white"/>
        </w:rPr>
        <w:t>Williams JW, Javaid B, Kadambi PV, et al. Leflunomide for polyomavirus type BVK nephropathy. N Engl J Med 2005; 352: 1157-1158</w:t>
      </w:r>
    </w:p>
    <w:p w14:paraId="5D4BD30A" w14:textId="27E8CB95" w:rsidR="00EB6556" w:rsidRDefault="00EB6556" w:rsidP="0082468C">
      <w:pPr>
        <w:spacing w:after="0" w:line="276" w:lineRule="auto"/>
        <w:jc w:val="both"/>
        <w:rPr>
          <w:rFonts w:cstheme="minorHAnsi"/>
          <w:color w:val="212121"/>
          <w:highlight w:val="white"/>
        </w:rPr>
      </w:pPr>
      <w:r>
        <w:rPr>
          <w:rFonts w:cstheme="minorHAnsi"/>
          <w:color w:val="212121"/>
          <w:highlight w:val="white"/>
        </w:rPr>
        <w:t>6</w:t>
      </w:r>
      <w:r w:rsidRPr="00713B3E">
        <w:rPr>
          <w:rFonts w:cstheme="minorHAnsi"/>
          <w:color w:val="212121"/>
          <w:highlight w:val="white"/>
        </w:rPr>
        <w:t xml:space="preserve">. </w:t>
      </w:r>
      <w:r w:rsidR="00D63B73">
        <w:rPr>
          <w:rFonts w:cstheme="minorHAnsi"/>
          <w:color w:val="212121"/>
          <w:highlight w:val="white"/>
        </w:rPr>
        <w:tab/>
      </w:r>
      <w:r w:rsidRPr="00713B3E">
        <w:rPr>
          <w:rFonts w:cstheme="minorHAnsi"/>
          <w:color w:val="212121"/>
          <w:highlight w:val="white"/>
        </w:rPr>
        <w:t>Geetha D, Sozio SM, Ghanta M, Josephson M, Shapiro R, Dadhania D, Hariharan S. Results of repeat renal transplantation after graft loss from BK virus nephropathy. Transplantation. 2011 Oct 15;92(7):781-6. doi: 10.1097/TP.0b013e31822d08c1. PMID: 21836535.</w:t>
      </w:r>
    </w:p>
    <w:p w14:paraId="40EC1BBF" w14:textId="2D982AC3" w:rsidR="00EB6556" w:rsidRDefault="00EB6556" w:rsidP="0082468C">
      <w:pPr>
        <w:spacing w:after="0" w:line="276" w:lineRule="auto"/>
        <w:jc w:val="both"/>
        <w:rPr>
          <w:rFonts w:cstheme="minorHAnsi"/>
          <w:color w:val="212121"/>
          <w:highlight w:val="white"/>
        </w:rPr>
      </w:pPr>
      <w:r>
        <w:rPr>
          <w:rFonts w:cstheme="minorHAnsi"/>
          <w:color w:val="212121"/>
          <w:highlight w:val="white"/>
        </w:rPr>
        <w:t xml:space="preserve">7. </w:t>
      </w:r>
      <w:r w:rsidR="00D63B73">
        <w:rPr>
          <w:rFonts w:cstheme="minorHAnsi"/>
          <w:color w:val="212121"/>
          <w:highlight w:val="white"/>
        </w:rPr>
        <w:tab/>
      </w:r>
      <w:r>
        <w:rPr>
          <w:rFonts w:cstheme="minorHAnsi"/>
          <w:color w:val="212121"/>
          <w:highlight w:val="white"/>
        </w:rPr>
        <w:t>Dharnidharka VR, Cherikh WS, Neff R, et al. Re transplantation after BK virus nephropathy in prior kidney transplant: an OPTN database analysis. Am J Transplant. 2010; 10: 1312-1315</w:t>
      </w:r>
    </w:p>
    <w:p w14:paraId="41AD4698" w14:textId="77777777" w:rsidR="00A85D14" w:rsidRPr="00713B3E" w:rsidRDefault="00A85D14" w:rsidP="0082468C">
      <w:pPr>
        <w:spacing w:after="0" w:line="276" w:lineRule="auto"/>
        <w:jc w:val="both"/>
        <w:rPr>
          <w:rFonts w:cstheme="minorHAnsi"/>
          <w:b/>
          <w:color w:val="232323"/>
          <w:highlight w:val="white"/>
        </w:rPr>
      </w:pPr>
    </w:p>
    <w:p w14:paraId="3CF1448E" w14:textId="77777777" w:rsidR="00EB6556" w:rsidRDefault="00EB6556" w:rsidP="00EB6556">
      <w:pPr>
        <w:pStyle w:val="Heading2"/>
      </w:pPr>
      <w:bookmarkStart w:id="145" w:name="_Toc128330050"/>
      <w:r>
        <w:t xml:space="preserve">9.3 </w:t>
      </w:r>
      <w:r w:rsidRPr="00713B3E">
        <w:t>Recurrent Primary Disease</w:t>
      </w:r>
      <w:bookmarkEnd w:id="145"/>
    </w:p>
    <w:p w14:paraId="0EDFD115" w14:textId="77777777" w:rsidR="00EB6556" w:rsidRPr="00F232BE" w:rsidRDefault="00EB6556" w:rsidP="00A44486">
      <w:pPr>
        <w:pStyle w:val="Heading3"/>
      </w:pPr>
      <w:bookmarkStart w:id="146" w:name="_Toc128330051"/>
      <w:r w:rsidRPr="0016371F">
        <w:t>Statements of Recommendation</w:t>
      </w:r>
      <w:bookmarkEnd w:id="146"/>
    </w:p>
    <w:p w14:paraId="3B64CFC5" w14:textId="77777777" w:rsidR="00EB6556" w:rsidRPr="00713B3E" w:rsidRDefault="00EB6556" w:rsidP="0082468C">
      <w:r w:rsidRPr="00713B3E">
        <w:t>We recommend:</w:t>
      </w:r>
    </w:p>
    <w:p w14:paraId="25839ACD" w14:textId="77777777" w:rsidR="00EB6556" w:rsidRPr="00713B3E" w:rsidRDefault="00EB6556">
      <w:pPr>
        <w:numPr>
          <w:ilvl w:val="0"/>
          <w:numId w:val="26"/>
        </w:numPr>
        <w:pBdr>
          <w:top w:val="nil"/>
          <w:left w:val="nil"/>
          <w:bottom w:val="nil"/>
          <w:right w:val="nil"/>
          <w:between w:val="nil"/>
        </w:pBdr>
        <w:spacing w:line="276" w:lineRule="auto"/>
        <w:jc w:val="both"/>
        <w:rPr>
          <w:rFonts w:cstheme="minorHAnsi"/>
          <w:color w:val="000000"/>
        </w:rPr>
      </w:pPr>
      <w:r w:rsidRPr="00713B3E">
        <w:rPr>
          <w:rFonts w:cstheme="minorHAnsi"/>
          <w:color w:val="000000"/>
        </w:rPr>
        <w:t xml:space="preserve">Re-transplantation should be considered for patients with </w:t>
      </w:r>
      <w:r>
        <w:rPr>
          <w:rFonts w:cstheme="minorHAnsi"/>
          <w:color w:val="000000"/>
        </w:rPr>
        <w:t xml:space="preserve">a </w:t>
      </w:r>
      <w:r w:rsidRPr="00713B3E">
        <w:rPr>
          <w:rFonts w:cstheme="minorHAnsi"/>
          <w:color w:val="000000"/>
        </w:rPr>
        <w:t>failing kidney transplant due to recurrent glomerulonephritis despite the potential for recurrent disease</w:t>
      </w:r>
      <w:r>
        <w:rPr>
          <w:rFonts w:cstheme="minorHAnsi"/>
          <w:color w:val="000000"/>
        </w:rPr>
        <w:t>.</w:t>
      </w:r>
      <w:r w:rsidRPr="00713B3E">
        <w:rPr>
          <w:rFonts w:cstheme="minorHAnsi"/>
          <w:color w:val="000000"/>
        </w:rPr>
        <w:t xml:space="preserve"> (</w:t>
      </w:r>
      <w:r w:rsidRPr="00C50D4D">
        <w:rPr>
          <w:rFonts w:cstheme="minorHAnsi"/>
          <w:color w:val="000000"/>
        </w:rPr>
        <w:t>1C</w:t>
      </w:r>
      <w:r w:rsidRPr="00713B3E">
        <w:rPr>
          <w:rFonts w:cstheme="minorHAnsi"/>
          <w:color w:val="000000"/>
        </w:rPr>
        <w:t>)</w:t>
      </w:r>
    </w:p>
    <w:p w14:paraId="44D662F8" w14:textId="77777777" w:rsidR="00EB6556" w:rsidRPr="00713B3E" w:rsidRDefault="00EB6556">
      <w:pPr>
        <w:numPr>
          <w:ilvl w:val="0"/>
          <w:numId w:val="26"/>
        </w:numPr>
        <w:pBdr>
          <w:top w:val="nil"/>
          <w:left w:val="nil"/>
          <w:bottom w:val="nil"/>
          <w:right w:val="nil"/>
          <w:between w:val="nil"/>
        </w:pBdr>
        <w:spacing w:line="276" w:lineRule="auto"/>
        <w:jc w:val="both"/>
        <w:rPr>
          <w:rFonts w:cstheme="minorHAnsi"/>
          <w:color w:val="000000"/>
        </w:rPr>
      </w:pPr>
      <w:r w:rsidRPr="00713B3E">
        <w:rPr>
          <w:rFonts w:cstheme="minorHAnsi"/>
          <w:color w:val="000000"/>
        </w:rPr>
        <w:t>Prior to re-transplantation, appropriate counselling should be given</w:t>
      </w:r>
      <w:r>
        <w:rPr>
          <w:rFonts w:cstheme="minorHAnsi"/>
          <w:color w:val="000000"/>
        </w:rPr>
        <w:t xml:space="preserve"> to</w:t>
      </w:r>
      <w:r w:rsidRPr="00713B3E">
        <w:rPr>
          <w:rFonts w:cstheme="minorHAnsi"/>
          <w:color w:val="000000"/>
        </w:rPr>
        <w:t xml:space="preserve"> patients with conditions known to recur quickly and severely in a </w:t>
      </w:r>
      <w:r>
        <w:rPr>
          <w:rFonts w:cstheme="minorHAnsi"/>
          <w:color w:val="000000"/>
        </w:rPr>
        <w:t>kidney</w:t>
      </w:r>
      <w:r w:rsidRPr="00713B3E">
        <w:rPr>
          <w:rFonts w:cstheme="minorHAnsi"/>
          <w:color w:val="000000"/>
        </w:rPr>
        <w:t xml:space="preserve"> transplant, namely FSGS, atypical HUS and other complement abnormalities (C3GN and Dense Deposit Disease)</w:t>
      </w:r>
      <w:r>
        <w:rPr>
          <w:rFonts w:cstheme="minorHAnsi"/>
          <w:color w:val="000000"/>
        </w:rPr>
        <w:t>.</w:t>
      </w:r>
      <w:r w:rsidRPr="00713B3E">
        <w:rPr>
          <w:rFonts w:cstheme="minorHAnsi"/>
          <w:color w:val="000000"/>
        </w:rPr>
        <w:t xml:space="preserve"> (</w:t>
      </w:r>
      <w:r w:rsidRPr="00C50D4D">
        <w:rPr>
          <w:rFonts w:cstheme="minorHAnsi"/>
          <w:color w:val="000000"/>
        </w:rPr>
        <w:t>1B</w:t>
      </w:r>
      <w:r w:rsidRPr="00713B3E">
        <w:rPr>
          <w:rFonts w:cstheme="minorHAnsi"/>
          <w:color w:val="000000"/>
        </w:rPr>
        <w:t>)</w:t>
      </w:r>
    </w:p>
    <w:p w14:paraId="6F9F9C48" w14:textId="77777777" w:rsidR="00EB6556" w:rsidRPr="00713B3E" w:rsidRDefault="00EB6556">
      <w:pPr>
        <w:numPr>
          <w:ilvl w:val="0"/>
          <w:numId w:val="26"/>
        </w:numPr>
        <w:pBdr>
          <w:top w:val="nil"/>
          <w:left w:val="nil"/>
          <w:bottom w:val="nil"/>
          <w:right w:val="nil"/>
          <w:between w:val="nil"/>
        </w:pBdr>
        <w:spacing w:line="276" w:lineRule="auto"/>
        <w:jc w:val="both"/>
        <w:rPr>
          <w:rFonts w:cstheme="minorHAnsi"/>
          <w:color w:val="000000"/>
        </w:rPr>
      </w:pPr>
      <w:r w:rsidRPr="00713B3E">
        <w:rPr>
          <w:rFonts w:cstheme="minorHAnsi"/>
          <w:color w:val="000000"/>
        </w:rPr>
        <w:t xml:space="preserve">Patients with recurrent FSGS in </w:t>
      </w:r>
      <w:r>
        <w:rPr>
          <w:rFonts w:cstheme="minorHAnsi"/>
          <w:color w:val="000000"/>
        </w:rPr>
        <w:t xml:space="preserve">the </w:t>
      </w:r>
      <w:r w:rsidRPr="00713B3E">
        <w:rPr>
          <w:rFonts w:cstheme="minorHAnsi"/>
          <w:color w:val="000000"/>
        </w:rPr>
        <w:t>transplant</w:t>
      </w:r>
      <w:r>
        <w:rPr>
          <w:rFonts w:cstheme="minorHAnsi"/>
          <w:color w:val="000000"/>
        </w:rPr>
        <w:t>ed</w:t>
      </w:r>
      <w:r w:rsidRPr="00713B3E">
        <w:rPr>
          <w:rFonts w:cstheme="minorHAnsi"/>
          <w:color w:val="000000"/>
        </w:rPr>
        <w:t xml:space="preserve"> kidney should receive at least 5 sessions of plasmapheresis and 2 doses of rituximab</w:t>
      </w:r>
      <w:r>
        <w:rPr>
          <w:rFonts w:cstheme="minorHAnsi"/>
          <w:color w:val="000000"/>
        </w:rPr>
        <w:t>.</w:t>
      </w:r>
      <w:r w:rsidRPr="00713B3E">
        <w:rPr>
          <w:rFonts w:cstheme="minorHAnsi"/>
          <w:color w:val="000000"/>
        </w:rPr>
        <w:t xml:space="preserve"> (</w:t>
      </w:r>
      <w:r w:rsidRPr="00C50D4D">
        <w:rPr>
          <w:rFonts w:cstheme="minorHAnsi"/>
          <w:color w:val="000000"/>
        </w:rPr>
        <w:t>2C</w:t>
      </w:r>
      <w:r w:rsidRPr="00713B3E">
        <w:rPr>
          <w:rFonts w:cstheme="minorHAnsi"/>
          <w:color w:val="000000"/>
        </w:rPr>
        <w:t>)</w:t>
      </w:r>
    </w:p>
    <w:p w14:paraId="593B6E57" w14:textId="77777777" w:rsidR="00EB6556" w:rsidRPr="00713B3E" w:rsidRDefault="00EB6556">
      <w:pPr>
        <w:numPr>
          <w:ilvl w:val="0"/>
          <w:numId w:val="26"/>
        </w:numPr>
        <w:pBdr>
          <w:top w:val="nil"/>
          <w:left w:val="nil"/>
          <w:bottom w:val="nil"/>
          <w:right w:val="nil"/>
          <w:between w:val="nil"/>
        </w:pBdr>
        <w:spacing w:line="276" w:lineRule="auto"/>
        <w:jc w:val="both"/>
        <w:rPr>
          <w:rFonts w:cstheme="minorHAnsi"/>
          <w:color w:val="000000"/>
        </w:rPr>
      </w:pPr>
      <w:r w:rsidRPr="00713B3E">
        <w:rPr>
          <w:rFonts w:cstheme="minorHAnsi"/>
          <w:color w:val="000000"/>
        </w:rPr>
        <w:lastRenderedPageBreak/>
        <w:t xml:space="preserve">Prophylactic plasmapheresis and </w:t>
      </w:r>
      <w:r>
        <w:rPr>
          <w:rFonts w:cstheme="minorHAnsi"/>
          <w:color w:val="000000"/>
        </w:rPr>
        <w:t>r</w:t>
      </w:r>
      <w:r w:rsidRPr="00713B3E">
        <w:rPr>
          <w:rFonts w:cstheme="minorHAnsi"/>
          <w:color w:val="000000"/>
        </w:rPr>
        <w:t xml:space="preserve">ituximab for patients with FSGS </w:t>
      </w:r>
      <w:r>
        <w:rPr>
          <w:rFonts w:cstheme="minorHAnsi"/>
          <w:color w:val="000000"/>
        </w:rPr>
        <w:t xml:space="preserve">to </w:t>
      </w:r>
      <w:r w:rsidRPr="00713B3E">
        <w:rPr>
          <w:rFonts w:cstheme="minorHAnsi"/>
          <w:color w:val="000000"/>
        </w:rPr>
        <w:t xml:space="preserve">prevent recurrence </w:t>
      </w:r>
      <w:r>
        <w:rPr>
          <w:rFonts w:cstheme="minorHAnsi"/>
          <w:color w:val="000000"/>
        </w:rPr>
        <w:t>are</w:t>
      </w:r>
      <w:r w:rsidRPr="00713B3E">
        <w:rPr>
          <w:rFonts w:cstheme="minorHAnsi"/>
          <w:color w:val="000000"/>
        </w:rPr>
        <w:t xml:space="preserve"> not recommended</w:t>
      </w:r>
      <w:r>
        <w:rPr>
          <w:rFonts w:cstheme="minorHAnsi"/>
          <w:color w:val="000000"/>
        </w:rPr>
        <w:t>.</w:t>
      </w:r>
      <w:r w:rsidRPr="00713B3E">
        <w:rPr>
          <w:rFonts w:cstheme="minorHAnsi"/>
          <w:color w:val="000000"/>
        </w:rPr>
        <w:t xml:space="preserve"> (</w:t>
      </w:r>
      <w:r w:rsidRPr="00C50D4D">
        <w:rPr>
          <w:rFonts w:cstheme="minorHAnsi"/>
          <w:color w:val="000000"/>
        </w:rPr>
        <w:t>1B</w:t>
      </w:r>
      <w:r w:rsidRPr="00713B3E">
        <w:rPr>
          <w:rFonts w:cstheme="minorHAnsi"/>
          <w:color w:val="000000"/>
        </w:rPr>
        <w:t>)</w:t>
      </w:r>
    </w:p>
    <w:p w14:paraId="5804E6EE" w14:textId="77777777" w:rsidR="00EB6556" w:rsidRPr="00713B3E" w:rsidRDefault="00EB6556">
      <w:pPr>
        <w:numPr>
          <w:ilvl w:val="0"/>
          <w:numId w:val="26"/>
        </w:numPr>
        <w:pBdr>
          <w:top w:val="nil"/>
          <w:left w:val="nil"/>
          <w:bottom w:val="nil"/>
          <w:right w:val="nil"/>
          <w:between w:val="nil"/>
        </w:pBdr>
        <w:spacing w:line="276" w:lineRule="auto"/>
        <w:jc w:val="both"/>
        <w:rPr>
          <w:rFonts w:cstheme="minorHAnsi"/>
          <w:color w:val="000000"/>
        </w:rPr>
      </w:pPr>
      <w:r w:rsidRPr="00713B3E">
        <w:rPr>
          <w:rFonts w:cstheme="minorHAnsi"/>
          <w:color w:val="000000"/>
        </w:rPr>
        <w:t>Patients with MCGN due to complement abnormalities (C3GN and Dense Deposit Disease) should be discussed in a regional multidisciplinary meeting pre-transplantation to determine a plan for recurrent disease</w:t>
      </w:r>
      <w:r>
        <w:rPr>
          <w:rFonts w:cstheme="minorHAnsi"/>
          <w:color w:val="000000"/>
        </w:rPr>
        <w:t>.</w:t>
      </w:r>
      <w:r w:rsidRPr="00713B3E">
        <w:rPr>
          <w:rFonts w:cstheme="minorHAnsi"/>
          <w:color w:val="000000"/>
        </w:rPr>
        <w:t xml:space="preserve"> (</w:t>
      </w:r>
      <w:r w:rsidRPr="00C50D4D">
        <w:rPr>
          <w:rFonts w:cstheme="minorHAnsi"/>
          <w:color w:val="000000"/>
        </w:rPr>
        <w:t>1B</w:t>
      </w:r>
      <w:r w:rsidRPr="00713B3E">
        <w:rPr>
          <w:rFonts w:cstheme="minorHAnsi"/>
          <w:color w:val="000000"/>
        </w:rPr>
        <w:t>)</w:t>
      </w:r>
    </w:p>
    <w:p w14:paraId="4F1C24CF" w14:textId="77777777" w:rsidR="00EB6556" w:rsidRPr="00713B3E" w:rsidRDefault="00EB6556">
      <w:pPr>
        <w:numPr>
          <w:ilvl w:val="0"/>
          <w:numId w:val="26"/>
        </w:numPr>
        <w:pBdr>
          <w:top w:val="nil"/>
          <w:left w:val="nil"/>
          <w:bottom w:val="nil"/>
          <w:right w:val="nil"/>
          <w:between w:val="nil"/>
        </w:pBdr>
        <w:spacing w:line="276" w:lineRule="auto"/>
        <w:jc w:val="both"/>
        <w:rPr>
          <w:rFonts w:cstheme="minorHAnsi"/>
          <w:color w:val="000000"/>
        </w:rPr>
      </w:pPr>
      <w:r w:rsidRPr="00713B3E">
        <w:rPr>
          <w:rFonts w:cstheme="minorHAnsi"/>
          <w:color w:val="000000"/>
        </w:rPr>
        <w:t>Patients with atypical HUS with defined complement abnormalities and C3GN should be discussed with the UK national atypical HUS service before transplantation to have a clear management plan in case of disease recurrence post-transplant</w:t>
      </w:r>
      <w:r>
        <w:rPr>
          <w:rFonts w:cstheme="minorHAnsi"/>
          <w:color w:val="000000"/>
        </w:rPr>
        <w:t>.</w:t>
      </w:r>
      <w:r w:rsidRPr="00713B3E">
        <w:rPr>
          <w:rFonts w:cstheme="minorHAnsi"/>
          <w:color w:val="000000"/>
        </w:rPr>
        <w:t xml:space="preserve"> (</w:t>
      </w:r>
      <w:r w:rsidRPr="00C50D4D">
        <w:rPr>
          <w:rFonts w:cstheme="minorHAnsi"/>
          <w:color w:val="000000"/>
        </w:rPr>
        <w:t>1C</w:t>
      </w:r>
      <w:r w:rsidRPr="00713B3E">
        <w:rPr>
          <w:rFonts w:cstheme="minorHAnsi"/>
          <w:color w:val="000000"/>
        </w:rPr>
        <w:t>)</w:t>
      </w:r>
    </w:p>
    <w:p w14:paraId="05BCE5B4" w14:textId="77777777" w:rsidR="00EB6556" w:rsidRPr="00713B3E" w:rsidRDefault="00EB6556">
      <w:pPr>
        <w:numPr>
          <w:ilvl w:val="0"/>
          <w:numId w:val="26"/>
        </w:numPr>
        <w:pBdr>
          <w:top w:val="nil"/>
          <w:left w:val="nil"/>
          <w:bottom w:val="nil"/>
          <w:right w:val="nil"/>
          <w:between w:val="nil"/>
        </w:pBdr>
        <w:spacing w:line="276" w:lineRule="auto"/>
        <w:jc w:val="both"/>
        <w:rPr>
          <w:rFonts w:cstheme="minorHAnsi"/>
          <w:color w:val="000000"/>
        </w:rPr>
      </w:pPr>
      <w:r w:rsidRPr="00713B3E">
        <w:rPr>
          <w:rFonts w:cstheme="minorHAnsi"/>
          <w:color w:val="000000"/>
        </w:rPr>
        <w:t>Eculizumab may be helpful in reducing the risk of recurrent C3GN and a</w:t>
      </w:r>
      <w:r>
        <w:rPr>
          <w:rFonts w:cstheme="minorHAnsi"/>
          <w:color w:val="000000"/>
        </w:rPr>
        <w:t xml:space="preserve">typical </w:t>
      </w:r>
      <w:r w:rsidRPr="00713B3E">
        <w:rPr>
          <w:rFonts w:cstheme="minorHAnsi"/>
          <w:color w:val="000000"/>
        </w:rPr>
        <w:t>HUS</w:t>
      </w:r>
      <w:r>
        <w:rPr>
          <w:rFonts w:cstheme="minorHAnsi"/>
          <w:color w:val="000000"/>
        </w:rPr>
        <w:t>.</w:t>
      </w:r>
      <w:r w:rsidRPr="00713B3E">
        <w:rPr>
          <w:rFonts w:cstheme="minorHAnsi"/>
          <w:color w:val="000000"/>
        </w:rPr>
        <w:t xml:space="preserve"> (</w:t>
      </w:r>
      <w:r w:rsidRPr="00C50D4D">
        <w:rPr>
          <w:rFonts w:cstheme="minorHAnsi"/>
          <w:color w:val="000000"/>
        </w:rPr>
        <w:t>2C</w:t>
      </w:r>
      <w:r w:rsidRPr="00713B3E">
        <w:rPr>
          <w:rFonts w:cstheme="minorHAnsi"/>
          <w:color w:val="000000"/>
        </w:rPr>
        <w:t>)</w:t>
      </w:r>
    </w:p>
    <w:p w14:paraId="3AC4EF53" w14:textId="77777777" w:rsidR="00EB6556" w:rsidRPr="00713B3E" w:rsidRDefault="00EB6556">
      <w:pPr>
        <w:numPr>
          <w:ilvl w:val="0"/>
          <w:numId w:val="26"/>
        </w:numPr>
        <w:pBdr>
          <w:top w:val="nil"/>
          <w:left w:val="nil"/>
          <w:bottom w:val="nil"/>
          <w:right w:val="nil"/>
          <w:between w:val="nil"/>
        </w:pBdr>
        <w:spacing w:line="276" w:lineRule="auto"/>
        <w:jc w:val="both"/>
        <w:rPr>
          <w:rFonts w:cstheme="minorHAnsi"/>
          <w:color w:val="000000"/>
        </w:rPr>
      </w:pPr>
      <w:r w:rsidRPr="00713B3E">
        <w:rPr>
          <w:rFonts w:cstheme="minorHAnsi"/>
          <w:color w:val="000000"/>
        </w:rPr>
        <w:t xml:space="preserve">If advanced interstitial fibrosis and tubular atrophy are present on </w:t>
      </w:r>
      <w:r>
        <w:rPr>
          <w:rFonts w:cstheme="minorHAnsi"/>
          <w:color w:val="000000"/>
        </w:rPr>
        <w:t>kidney</w:t>
      </w:r>
      <w:r w:rsidRPr="00713B3E">
        <w:rPr>
          <w:rFonts w:cstheme="minorHAnsi"/>
          <w:color w:val="000000"/>
        </w:rPr>
        <w:t xml:space="preserve"> biopsy, specific treatments for recurrent disease are not recommended</w:t>
      </w:r>
      <w:r>
        <w:rPr>
          <w:rFonts w:cstheme="minorHAnsi"/>
          <w:color w:val="000000"/>
        </w:rPr>
        <w:t>.</w:t>
      </w:r>
      <w:r w:rsidRPr="00713B3E">
        <w:rPr>
          <w:rFonts w:cstheme="minorHAnsi"/>
          <w:color w:val="000000"/>
        </w:rPr>
        <w:t xml:space="preserve"> (</w:t>
      </w:r>
      <w:r w:rsidRPr="00C50D4D">
        <w:rPr>
          <w:rFonts w:cstheme="minorHAnsi"/>
          <w:color w:val="000000"/>
        </w:rPr>
        <w:t>1B</w:t>
      </w:r>
      <w:r w:rsidRPr="00713B3E">
        <w:rPr>
          <w:rFonts w:cstheme="minorHAnsi"/>
          <w:color w:val="000000"/>
        </w:rPr>
        <w:t>)</w:t>
      </w:r>
    </w:p>
    <w:p w14:paraId="301E2130" w14:textId="1EE596CC" w:rsidR="00EB6556" w:rsidRDefault="00EB6556">
      <w:pPr>
        <w:numPr>
          <w:ilvl w:val="0"/>
          <w:numId w:val="26"/>
        </w:numPr>
        <w:pBdr>
          <w:top w:val="nil"/>
          <w:left w:val="nil"/>
          <w:bottom w:val="nil"/>
          <w:right w:val="nil"/>
          <w:between w:val="nil"/>
        </w:pBdr>
        <w:spacing w:line="276" w:lineRule="auto"/>
        <w:jc w:val="both"/>
        <w:rPr>
          <w:rFonts w:cstheme="minorHAnsi"/>
          <w:color w:val="000000"/>
        </w:rPr>
      </w:pPr>
      <w:r w:rsidRPr="00713B3E">
        <w:rPr>
          <w:rFonts w:cstheme="minorHAnsi"/>
          <w:color w:val="000000"/>
        </w:rPr>
        <w:t>Patients with recurrent glomerulonephritis and proteinuria should be treated with RAS blockade to control proteinuria and hypertension</w:t>
      </w:r>
      <w:r>
        <w:rPr>
          <w:rFonts w:cstheme="minorHAnsi"/>
          <w:color w:val="000000"/>
        </w:rPr>
        <w:t>.</w:t>
      </w:r>
      <w:r w:rsidRPr="00713B3E">
        <w:rPr>
          <w:rFonts w:cstheme="minorHAnsi"/>
          <w:color w:val="000000"/>
        </w:rPr>
        <w:t xml:space="preserve"> (</w:t>
      </w:r>
      <w:r w:rsidRPr="00C50D4D">
        <w:rPr>
          <w:rFonts w:cstheme="minorHAnsi"/>
          <w:color w:val="000000"/>
        </w:rPr>
        <w:t>1B</w:t>
      </w:r>
      <w:r w:rsidRPr="00713B3E">
        <w:rPr>
          <w:rFonts w:cstheme="minorHAnsi"/>
          <w:color w:val="000000"/>
        </w:rPr>
        <w:t>)</w:t>
      </w:r>
    </w:p>
    <w:p w14:paraId="0EEC06B5" w14:textId="2DE5051C" w:rsidR="00EB6556" w:rsidRDefault="00EB6556" w:rsidP="0082468C">
      <w:r w:rsidRPr="00713B3E">
        <w:t>Recommendations for audit and research</w:t>
      </w:r>
      <w:r w:rsidR="0082468C">
        <w:t>:</w:t>
      </w:r>
    </w:p>
    <w:p w14:paraId="79818AEE" w14:textId="4CF82E8C" w:rsidR="00F5715E" w:rsidRPr="00713B3E" w:rsidRDefault="00F5715E">
      <w:pPr>
        <w:numPr>
          <w:ilvl w:val="0"/>
          <w:numId w:val="26"/>
        </w:numPr>
        <w:pBdr>
          <w:top w:val="nil"/>
          <w:left w:val="nil"/>
          <w:bottom w:val="nil"/>
          <w:right w:val="nil"/>
          <w:between w:val="nil"/>
        </w:pBdr>
        <w:spacing w:line="276" w:lineRule="auto"/>
        <w:jc w:val="both"/>
        <w:rPr>
          <w:rFonts w:cstheme="minorHAnsi"/>
          <w:color w:val="000000"/>
        </w:rPr>
      </w:pPr>
      <w:r w:rsidRPr="00713B3E">
        <w:rPr>
          <w:rFonts w:cstheme="minorHAnsi"/>
          <w:color w:val="000000"/>
        </w:rPr>
        <w:t xml:space="preserve">Studies to determine </w:t>
      </w:r>
      <w:r>
        <w:rPr>
          <w:rFonts w:cstheme="minorHAnsi"/>
          <w:color w:val="000000"/>
        </w:rPr>
        <w:t xml:space="preserve">the </w:t>
      </w:r>
      <w:r w:rsidRPr="00713B3E">
        <w:rPr>
          <w:rFonts w:cstheme="minorHAnsi"/>
          <w:color w:val="000000"/>
        </w:rPr>
        <w:t>optimum dosing schedule for rituximab and plasmapheresis for FSGS post</w:t>
      </w:r>
      <w:r w:rsidR="0082468C">
        <w:rPr>
          <w:rFonts w:cstheme="minorHAnsi"/>
          <w:color w:val="000000"/>
        </w:rPr>
        <w:t>-</w:t>
      </w:r>
      <w:r w:rsidR="0082468C" w:rsidRPr="00713B3E">
        <w:rPr>
          <w:rFonts w:cstheme="minorHAnsi"/>
          <w:color w:val="000000"/>
        </w:rPr>
        <w:t>recurrence.</w:t>
      </w:r>
    </w:p>
    <w:p w14:paraId="79BBBC67" w14:textId="681E9077" w:rsidR="00F5715E" w:rsidRPr="00713B3E" w:rsidRDefault="00F5715E">
      <w:pPr>
        <w:numPr>
          <w:ilvl w:val="0"/>
          <w:numId w:val="26"/>
        </w:numPr>
        <w:pBdr>
          <w:top w:val="nil"/>
          <w:left w:val="nil"/>
          <w:bottom w:val="nil"/>
          <w:right w:val="nil"/>
          <w:between w:val="nil"/>
        </w:pBdr>
        <w:spacing w:line="276" w:lineRule="auto"/>
        <w:jc w:val="both"/>
        <w:rPr>
          <w:rFonts w:cstheme="minorHAnsi"/>
          <w:color w:val="000000"/>
        </w:rPr>
      </w:pPr>
      <w:r w:rsidRPr="00713B3E">
        <w:rPr>
          <w:rFonts w:cstheme="minorHAnsi"/>
          <w:color w:val="000000"/>
        </w:rPr>
        <w:t>Re-transplantation rates and outcomes for patients with graft failure due to recurrent atypical HUS or complement defect associated</w:t>
      </w:r>
      <w:r>
        <w:rPr>
          <w:rFonts w:cstheme="minorHAnsi"/>
          <w:color w:val="000000"/>
        </w:rPr>
        <w:t xml:space="preserve"> with</w:t>
      </w:r>
      <w:r w:rsidRPr="00713B3E">
        <w:rPr>
          <w:rFonts w:cstheme="minorHAnsi"/>
          <w:color w:val="000000"/>
        </w:rPr>
        <w:t xml:space="preserve"> MCGN</w:t>
      </w:r>
      <w:r w:rsidR="0082468C">
        <w:rPr>
          <w:rFonts w:cstheme="minorHAnsi"/>
          <w:color w:val="000000"/>
        </w:rPr>
        <w:t>.</w:t>
      </w:r>
    </w:p>
    <w:p w14:paraId="3237A3A5" w14:textId="77991CBD" w:rsidR="00F5715E" w:rsidRPr="00F5715E" w:rsidRDefault="00F5715E">
      <w:pPr>
        <w:numPr>
          <w:ilvl w:val="0"/>
          <w:numId w:val="26"/>
        </w:numPr>
        <w:pBdr>
          <w:top w:val="nil"/>
          <w:left w:val="nil"/>
          <w:bottom w:val="nil"/>
          <w:right w:val="nil"/>
          <w:between w:val="nil"/>
        </w:pBdr>
        <w:spacing w:line="276" w:lineRule="auto"/>
        <w:jc w:val="both"/>
        <w:rPr>
          <w:rFonts w:cstheme="minorHAnsi"/>
          <w:color w:val="000000"/>
        </w:rPr>
      </w:pPr>
      <w:r w:rsidRPr="00713B3E">
        <w:rPr>
          <w:rFonts w:cstheme="minorHAnsi"/>
          <w:color w:val="000000"/>
        </w:rPr>
        <w:t>The safety and efficacy of SGLT2 inhibitors in patients with recurrent proteinuric disease in the kidney transplant</w:t>
      </w:r>
      <w:r w:rsidR="0082468C">
        <w:rPr>
          <w:rFonts w:cstheme="minorHAnsi"/>
          <w:color w:val="000000"/>
        </w:rPr>
        <w:t>.</w:t>
      </w:r>
    </w:p>
    <w:p w14:paraId="0F89F6EB" w14:textId="77777777" w:rsidR="00EB6556" w:rsidRDefault="00EB6556" w:rsidP="00A44486">
      <w:pPr>
        <w:pStyle w:val="Heading3"/>
      </w:pPr>
      <w:bookmarkStart w:id="147" w:name="_Toc128330052"/>
      <w:r w:rsidRPr="00713B3E">
        <w:t>Rational</w:t>
      </w:r>
      <w:r>
        <w:t>e</w:t>
      </w:r>
      <w:bookmarkEnd w:id="147"/>
    </w:p>
    <w:p w14:paraId="3AD245B3" w14:textId="77777777" w:rsidR="00EB6556" w:rsidRPr="00713B3E" w:rsidRDefault="00EB6556" w:rsidP="0082468C">
      <w:pPr>
        <w:spacing w:line="276" w:lineRule="auto"/>
        <w:jc w:val="both"/>
        <w:rPr>
          <w:rFonts w:cstheme="minorHAnsi"/>
        </w:rPr>
      </w:pPr>
      <w:r w:rsidRPr="00713B3E">
        <w:rPr>
          <w:rFonts w:cstheme="minorHAnsi"/>
        </w:rPr>
        <w:t xml:space="preserve">Recurrent primary glomerular disease in </w:t>
      </w:r>
      <w:r>
        <w:rPr>
          <w:rFonts w:cstheme="minorHAnsi"/>
        </w:rPr>
        <w:t>the transplanted</w:t>
      </w:r>
      <w:r w:rsidRPr="00713B3E">
        <w:rPr>
          <w:rFonts w:cstheme="minorHAnsi"/>
        </w:rPr>
        <w:t xml:space="preserve"> kidney is a common histological occurrence but does not inevitably lead to accelerated graft failure. For example, 50% of patients with diabetes mellitus pre-transplant show mesangial expansion on renal transplant biopsy 5 years post-transplant</w:t>
      </w:r>
      <w:r w:rsidRPr="00713B3E">
        <w:rPr>
          <w:rFonts w:cstheme="minorHAnsi"/>
          <w:vertAlign w:val="superscript"/>
        </w:rPr>
        <w:t>1</w:t>
      </w:r>
      <w:r w:rsidRPr="00713B3E">
        <w:rPr>
          <w:rFonts w:cstheme="minorHAnsi"/>
        </w:rPr>
        <w:t xml:space="preserve">. Renal Registry data from the UK indicates around 3.5% of kidney transplants fail due to recurrent disease </w:t>
      </w:r>
      <w:r w:rsidRPr="00713B3E">
        <w:rPr>
          <w:rFonts w:cstheme="minorHAnsi"/>
          <w:vertAlign w:val="superscript"/>
        </w:rPr>
        <w:t>2</w:t>
      </w:r>
      <w:r w:rsidRPr="00713B3E">
        <w:rPr>
          <w:rFonts w:cstheme="minorHAnsi"/>
        </w:rPr>
        <w:t xml:space="preserve">. However, other studies quote a higher rate, with 18-22% graft losses due to recurrent or </w:t>
      </w:r>
      <w:r w:rsidRPr="00713B3E">
        <w:rPr>
          <w:rFonts w:cstheme="minorHAnsi"/>
          <w:i/>
          <w:iCs/>
        </w:rPr>
        <w:t>de novo</w:t>
      </w:r>
      <w:r w:rsidRPr="00713B3E">
        <w:rPr>
          <w:rFonts w:cstheme="minorHAnsi"/>
        </w:rPr>
        <w:t xml:space="preserve"> glomerulonephritis </w:t>
      </w:r>
      <w:r w:rsidRPr="00713B3E">
        <w:rPr>
          <w:rFonts w:cstheme="minorHAnsi"/>
          <w:vertAlign w:val="superscript"/>
        </w:rPr>
        <w:t>3</w:t>
      </w:r>
      <w:r w:rsidRPr="00713B3E">
        <w:rPr>
          <w:rFonts w:cstheme="minorHAnsi"/>
        </w:rPr>
        <w:t xml:space="preserve">. Histological patterns in a failing transplant kidney are often driven by more than one pathology, including chronic rejection (T cell and </w:t>
      </w:r>
      <w:r>
        <w:rPr>
          <w:rFonts w:cstheme="minorHAnsi"/>
        </w:rPr>
        <w:t>antibody-mediated</w:t>
      </w:r>
      <w:r w:rsidRPr="00713B3E">
        <w:rPr>
          <w:rFonts w:cstheme="minorHAnsi"/>
        </w:rPr>
        <w:t>), chronic CNI toxicity, hypertension, vascular disease, diabetes, and recurrent glomerular disease. Consequently, it is often difficult to attribute graft failure to recurrent disease alone</w:t>
      </w:r>
      <w:r w:rsidRPr="00713B3E">
        <w:rPr>
          <w:rFonts w:cstheme="minorHAnsi"/>
          <w:vertAlign w:val="superscript"/>
        </w:rPr>
        <w:t>4</w:t>
      </w:r>
      <w:r w:rsidRPr="00713B3E">
        <w:rPr>
          <w:rFonts w:cstheme="minorHAnsi"/>
        </w:rPr>
        <w:t xml:space="preserve">. Recurrent FSGS, C3 Glomerulopathy (subdivided into dense deposit disease, formerly Type2 mesangiocapillary glomerulonephritis and C3 glomerulonephritis), membranous nephropathy and IgA nephropathy all increase the risk of allograft loss </w:t>
      </w:r>
      <w:r w:rsidRPr="00713B3E">
        <w:rPr>
          <w:rFonts w:cstheme="minorHAnsi"/>
          <w:vertAlign w:val="superscript"/>
        </w:rPr>
        <w:t>5</w:t>
      </w:r>
      <w:r w:rsidRPr="00713B3E">
        <w:rPr>
          <w:rFonts w:cstheme="minorHAnsi"/>
        </w:rPr>
        <w:t xml:space="preserve">. FSGS and C3G typically recur in the early post-transplant period whereas the risk of recurrence of other forms of glomerulonephritis increases with time </w:t>
      </w:r>
      <w:r>
        <w:rPr>
          <w:rFonts w:cstheme="minorHAnsi"/>
        </w:rPr>
        <w:t>post-transplantation</w:t>
      </w:r>
      <w:r w:rsidRPr="00713B3E">
        <w:rPr>
          <w:rFonts w:cstheme="minorHAnsi"/>
        </w:rPr>
        <w:t xml:space="preserve"> </w:t>
      </w:r>
      <w:r w:rsidRPr="00713B3E">
        <w:rPr>
          <w:rFonts w:cstheme="minorHAnsi"/>
          <w:vertAlign w:val="superscript"/>
        </w:rPr>
        <w:t>6</w:t>
      </w:r>
      <w:r w:rsidRPr="00713B3E">
        <w:rPr>
          <w:rFonts w:cstheme="minorHAnsi"/>
        </w:rPr>
        <w:t xml:space="preserve">. Although disease recurrence may shorten graft survival, </w:t>
      </w:r>
      <w:r>
        <w:rPr>
          <w:rFonts w:cstheme="minorHAnsi"/>
        </w:rPr>
        <w:t>long-term</w:t>
      </w:r>
      <w:r w:rsidRPr="00713B3E">
        <w:rPr>
          <w:rFonts w:cstheme="minorHAnsi"/>
        </w:rPr>
        <w:t xml:space="preserve"> outcome data </w:t>
      </w:r>
      <w:r>
        <w:rPr>
          <w:rFonts w:cstheme="minorHAnsi"/>
        </w:rPr>
        <w:t>support</w:t>
      </w:r>
      <w:r w:rsidRPr="00713B3E">
        <w:rPr>
          <w:rFonts w:cstheme="minorHAnsi"/>
        </w:rPr>
        <w:t xml:space="preserve"> transplantation (both deceased and living donor) in patients with primary glomerulonephritis </w:t>
      </w:r>
      <w:r w:rsidRPr="00713B3E">
        <w:rPr>
          <w:rFonts w:cstheme="minorHAnsi"/>
          <w:vertAlign w:val="superscript"/>
        </w:rPr>
        <w:t>7</w:t>
      </w:r>
      <w:r w:rsidRPr="00713B3E">
        <w:rPr>
          <w:rFonts w:cstheme="minorHAnsi"/>
        </w:rPr>
        <w:t xml:space="preserve">. Renal registry data from Australia and New Zealand, collected over a </w:t>
      </w:r>
      <w:r>
        <w:rPr>
          <w:rFonts w:cstheme="minorHAnsi"/>
        </w:rPr>
        <w:t>28-year</w:t>
      </w:r>
      <w:r w:rsidRPr="00713B3E">
        <w:rPr>
          <w:rFonts w:cstheme="minorHAnsi"/>
        </w:rPr>
        <w:t xml:space="preserve"> </w:t>
      </w:r>
      <w:r>
        <w:rPr>
          <w:rFonts w:cstheme="minorHAnsi"/>
        </w:rPr>
        <w:t>follow-up</w:t>
      </w:r>
      <w:r w:rsidRPr="00713B3E">
        <w:rPr>
          <w:rFonts w:cstheme="minorHAnsi"/>
        </w:rPr>
        <w:t xml:space="preserve"> period, has demonstrated the recurrence rates for primary glomerulonephritis after first and subsequent transplants (table 1).</w:t>
      </w:r>
    </w:p>
    <w:p w14:paraId="2FC8C3F0" w14:textId="77777777" w:rsidR="00EB6556" w:rsidRPr="00713B3E" w:rsidRDefault="00EB6556" w:rsidP="00EB6556">
      <w:pPr>
        <w:jc w:val="both"/>
        <w:rPr>
          <w:rFonts w:cstheme="minorHAnsi"/>
          <w:b/>
          <w:bCs/>
        </w:rPr>
      </w:pPr>
      <w:r w:rsidRPr="00713B3E">
        <w:rPr>
          <w:rFonts w:cstheme="minorHAnsi"/>
          <w:b/>
          <w:bCs/>
        </w:rPr>
        <w:t xml:space="preserve">Table 1. Recurrence rates for primary glomerulonephritis </w:t>
      </w: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2"/>
        <w:gridCol w:w="1566"/>
        <w:gridCol w:w="1626"/>
        <w:gridCol w:w="1699"/>
        <w:gridCol w:w="1399"/>
        <w:gridCol w:w="1620"/>
      </w:tblGrid>
      <w:tr w:rsidR="00EB6556" w:rsidRPr="00713B3E" w14:paraId="78414996" w14:textId="77777777" w:rsidTr="00BB35FE">
        <w:tc>
          <w:tcPr>
            <w:tcW w:w="1332" w:type="dxa"/>
          </w:tcPr>
          <w:p w14:paraId="441194D8" w14:textId="77777777" w:rsidR="00EB6556" w:rsidRPr="00713B3E" w:rsidRDefault="00EB6556" w:rsidP="00BB35FE">
            <w:pPr>
              <w:jc w:val="both"/>
              <w:rPr>
                <w:rFonts w:cstheme="minorHAnsi"/>
                <w:b/>
              </w:rPr>
            </w:pPr>
          </w:p>
        </w:tc>
        <w:tc>
          <w:tcPr>
            <w:tcW w:w="1566" w:type="dxa"/>
          </w:tcPr>
          <w:p w14:paraId="71880752" w14:textId="77777777" w:rsidR="00EB6556" w:rsidRPr="00713B3E" w:rsidRDefault="00EB6556" w:rsidP="00BB35FE">
            <w:pPr>
              <w:jc w:val="both"/>
              <w:rPr>
                <w:rFonts w:cstheme="minorHAnsi"/>
                <w:b/>
              </w:rPr>
            </w:pPr>
            <w:r w:rsidRPr="00713B3E">
              <w:rPr>
                <w:rFonts w:cstheme="minorHAnsi"/>
                <w:b/>
              </w:rPr>
              <w:t>FSGS </w:t>
            </w:r>
            <w:r w:rsidRPr="00713B3E">
              <w:rPr>
                <w:rFonts w:cstheme="minorHAnsi"/>
                <w:b/>
                <w:i/>
              </w:rPr>
              <w:t>n</w:t>
            </w:r>
            <w:r w:rsidRPr="00713B3E">
              <w:rPr>
                <w:rFonts w:cstheme="minorHAnsi"/>
                <w:b/>
              </w:rPr>
              <w:t> (%) (</w:t>
            </w:r>
            <w:r w:rsidRPr="00713B3E">
              <w:rPr>
                <w:rFonts w:cstheme="minorHAnsi"/>
                <w:b/>
                <w:i/>
              </w:rPr>
              <w:t>n</w:t>
            </w:r>
            <w:r w:rsidRPr="00713B3E">
              <w:rPr>
                <w:rFonts w:cstheme="minorHAnsi"/>
                <w:b/>
              </w:rPr>
              <w:t> = 975)</w:t>
            </w:r>
          </w:p>
        </w:tc>
        <w:tc>
          <w:tcPr>
            <w:tcW w:w="1626" w:type="dxa"/>
          </w:tcPr>
          <w:p w14:paraId="0A8DC15D" w14:textId="77777777" w:rsidR="00EB6556" w:rsidRPr="00713B3E" w:rsidRDefault="00EB6556" w:rsidP="00BB35FE">
            <w:pPr>
              <w:jc w:val="both"/>
              <w:rPr>
                <w:rFonts w:cstheme="minorHAnsi"/>
                <w:b/>
              </w:rPr>
            </w:pPr>
            <w:r w:rsidRPr="00713B3E">
              <w:rPr>
                <w:rFonts w:cstheme="minorHAnsi"/>
                <w:b/>
              </w:rPr>
              <w:t>IGAN </w:t>
            </w:r>
            <w:r w:rsidRPr="00713B3E">
              <w:rPr>
                <w:rFonts w:cstheme="minorHAnsi"/>
                <w:b/>
                <w:i/>
              </w:rPr>
              <w:t>n</w:t>
            </w:r>
            <w:r w:rsidRPr="00713B3E">
              <w:rPr>
                <w:rFonts w:cstheme="minorHAnsi"/>
                <w:b/>
              </w:rPr>
              <w:t> (%) (</w:t>
            </w:r>
            <w:r w:rsidRPr="00713B3E">
              <w:rPr>
                <w:rFonts w:cstheme="minorHAnsi"/>
                <w:b/>
                <w:i/>
              </w:rPr>
              <w:t>n</w:t>
            </w:r>
            <w:r w:rsidRPr="00713B3E">
              <w:rPr>
                <w:rFonts w:cstheme="minorHAnsi"/>
                <w:b/>
              </w:rPr>
              <w:t> = 2393)</w:t>
            </w:r>
          </w:p>
        </w:tc>
        <w:tc>
          <w:tcPr>
            <w:tcW w:w="1699" w:type="dxa"/>
          </w:tcPr>
          <w:p w14:paraId="7B3FC7E6" w14:textId="77777777" w:rsidR="00EB6556" w:rsidRPr="00713B3E" w:rsidRDefault="00EB6556" w:rsidP="00BB35FE">
            <w:pPr>
              <w:jc w:val="both"/>
              <w:rPr>
                <w:rFonts w:cstheme="minorHAnsi"/>
                <w:b/>
              </w:rPr>
            </w:pPr>
            <w:r w:rsidRPr="00713B3E">
              <w:rPr>
                <w:rFonts w:cstheme="minorHAnsi"/>
                <w:b/>
              </w:rPr>
              <w:t>MCGN </w:t>
            </w:r>
            <w:r w:rsidRPr="00713B3E">
              <w:rPr>
                <w:rFonts w:cstheme="minorHAnsi"/>
                <w:b/>
                <w:i/>
              </w:rPr>
              <w:t>n</w:t>
            </w:r>
            <w:r w:rsidRPr="00713B3E">
              <w:rPr>
                <w:rFonts w:cstheme="minorHAnsi"/>
                <w:b/>
              </w:rPr>
              <w:t> (%) (</w:t>
            </w:r>
            <w:r w:rsidRPr="00713B3E">
              <w:rPr>
                <w:rFonts w:cstheme="minorHAnsi"/>
                <w:b/>
                <w:i/>
              </w:rPr>
              <w:t>n</w:t>
            </w:r>
            <w:r w:rsidRPr="00713B3E">
              <w:rPr>
                <w:rFonts w:cstheme="minorHAnsi"/>
                <w:b/>
              </w:rPr>
              <w:t> = 348)</w:t>
            </w:r>
          </w:p>
        </w:tc>
        <w:tc>
          <w:tcPr>
            <w:tcW w:w="1399" w:type="dxa"/>
          </w:tcPr>
          <w:p w14:paraId="58E4CED2" w14:textId="77777777" w:rsidR="00EB6556" w:rsidRPr="00713B3E" w:rsidRDefault="00EB6556" w:rsidP="00BB35FE">
            <w:pPr>
              <w:jc w:val="both"/>
              <w:rPr>
                <w:rFonts w:cstheme="minorHAnsi"/>
                <w:b/>
              </w:rPr>
            </w:pPr>
            <w:r w:rsidRPr="00713B3E">
              <w:rPr>
                <w:rFonts w:cstheme="minorHAnsi"/>
                <w:b/>
              </w:rPr>
              <w:t>MN </w:t>
            </w:r>
            <w:r w:rsidRPr="00713B3E">
              <w:rPr>
                <w:rFonts w:cstheme="minorHAnsi"/>
                <w:b/>
                <w:i/>
              </w:rPr>
              <w:t>n</w:t>
            </w:r>
            <w:r w:rsidRPr="00713B3E">
              <w:rPr>
                <w:rFonts w:cstheme="minorHAnsi"/>
                <w:b/>
              </w:rPr>
              <w:t> (%) (</w:t>
            </w:r>
            <w:r w:rsidRPr="00713B3E">
              <w:rPr>
                <w:rFonts w:cstheme="minorHAnsi"/>
                <w:b/>
                <w:i/>
              </w:rPr>
              <w:t>n</w:t>
            </w:r>
            <w:r w:rsidRPr="00713B3E">
              <w:rPr>
                <w:rFonts w:cstheme="minorHAnsi"/>
                <w:b/>
              </w:rPr>
              <w:t> = 309)</w:t>
            </w:r>
          </w:p>
        </w:tc>
        <w:tc>
          <w:tcPr>
            <w:tcW w:w="1620" w:type="dxa"/>
          </w:tcPr>
          <w:p w14:paraId="5CDF2953" w14:textId="77777777" w:rsidR="00EB6556" w:rsidRPr="00713B3E" w:rsidRDefault="00EB6556" w:rsidP="00BB35FE">
            <w:pPr>
              <w:jc w:val="both"/>
              <w:rPr>
                <w:rFonts w:cstheme="minorHAnsi"/>
                <w:b/>
              </w:rPr>
            </w:pPr>
            <w:r w:rsidRPr="00713B3E">
              <w:rPr>
                <w:rFonts w:cstheme="minorHAnsi"/>
                <w:b/>
              </w:rPr>
              <w:t>Other GN </w:t>
            </w:r>
            <w:r w:rsidRPr="00713B3E">
              <w:rPr>
                <w:rFonts w:cstheme="minorHAnsi"/>
                <w:b/>
                <w:i/>
              </w:rPr>
              <w:t>n</w:t>
            </w:r>
            <w:r w:rsidRPr="00713B3E">
              <w:rPr>
                <w:rFonts w:cstheme="minorHAnsi"/>
                <w:b/>
              </w:rPr>
              <w:t> (%) (</w:t>
            </w:r>
            <w:r w:rsidRPr="00713B3E">
              <w:rPr>
                <w:rFonts w:cstheme="minorHAnsi"/>
                <w:b/>
                <w:i/>
              </w:rPr>
              <w:t>n</w:t>
            </w:r>
            <w:r w:rsidRPr="00713B3E">
              <w:rPr>
                <w:rFonts w:cstheme="minorHAnsi"/>
                <w:b/>
              </w:rPr>
              <w:t> = 3211)</w:t>
            </w:r>
          </w:p>
        </w:tc>
      </w:tr>
      <w:tr w:rsidR="00EB6556" w:rsidRPr="00713B3E" w14:paraId="678D5038" w14:textId="77777777" w:rsidTr="00BB35FE">
        <w:tc>
          <w:tcPr>
            <w:tcW w:w="1332" w:type="dxa"/>
          </w:tcPr>
          <w:p w14:paraId="7BB10A08" w14:textId="77777777" w:rsidR="00EB6556" w:rsidRPr="00713B3E" w:rsidRDefault="00EB6556" w:rsidP="00BB35FE">
            <w:pPr>
              <w:jc w:val="both"/>
              <w:rPr>
                <w:rFonts w:cstheme="minorHAnsi"/>
              </w:rPr>
            </w:pPr>
            <w:r w:rsidRPr="00713B3E">
              <w:rPr>
                <w:rFonts w:cstheme="minorHAnsi"/>
              </w:rPr>
              <w:t>Total</w:t>
            </w:r>
          </w:p>
        </w:tc>
        <w:tc>
          <w:tcPr>
            <w:tcW w:w="1566" w:type="dxa"/>
          </w:tcPr>
          <w:p w14:paraId="51DACF90" w14:textId="77777777" w:rsidR="00EB6556" w:rsidRPr="00713B3E" w:rsidRDefault="00EB6556" w:rsidP="00BB35FE">
            <w:pPr>
              <w:jc w:val="both"/>
              <w:rPr>
                <w:rFonts w:cstheme="minorHAnsi"/>
              </w:rPr>
            </w:pPr>
            <w:r w:rsidRPr="00713B3E">
              <w:rPr>
                <w:rFonts w:cstheme="minorHAnsi"/>
              </w:rPr>
              <w:t>101 (10.4%)</w:t>
            </w:r>
          </w:p>
        </w:tc>
        <w:tc>
          <w:tcPr>
            <w:tcW w:w="1626" w:type="dxa"/>
          </w:tcPr>
          <w:p w14:paraId="5259AE7D" w14:textId="77777777" w:rsidR="00EB6556" w:rsidRPr="00713B3E" w:rsidRDefault="00EB6556" w:rsidP="00BB35FE">
            <w:pPr>
              <w:jc w:val="both"/>
              <w:rPr>
                <w:rFonts w:cstheme="minorHAnsi"/>
              </w:rPr>
            </w:pPr>
            <w:r w:rsidRPr="00713B3E">
              <w:rPr>
                <w:rFonts w:cstheme="minorHAnsi"/>
              </w:rPr>
              <w:t>231 (9.7%)</w:t>
            </w:r>
          </w:p>
        </w:tc>
        <w:tc>
          <w:tcPr>
            <w:tcW w:w="1699" w:type="dxa"/>
          </w:tcPr>
          <w:p w14:paraId="5587CFD2" w14:textId="77777777" w:rsidR="00EB6556" w:rsidRPr="00713B3E" w:rsidRDefault="00EB6556" w:rsidP="00BB35FE">
            <w:pPr>
              <w:jc w:val="both"/>
              <w:rPr>
                <w:rFonts w:cstheme="minorHAnsi"/>
              </w:rPr>
            </w:pPr>
            <w:r w:rsidRPr="00713B3E">
              <w:rPr>
                <w:rFonts w:cstheme="minorHAnsi"/>
              </w:rPr>
              <w:t>54 (15.5%)</w:t>
            </w:r>
          </w:p>
        </w:tc>
        <w:tc>
          <w:tcPr>
            <w:tcW w:w="1399" w:type="dxa"/>
          </w:tcPr>
          <w:p w14:paraId="563C8008" w14:textId="77777777" w:rsidR="00EB6556" w:rsidRPr="00713B3E" w:rsidRDefault="00EB6556" w:rsidP="00BB35FE">
            <w:pPr>
              <w:jc w:val="both"/>
              <w:rPr>
                <w:rFonts w:cstheme="minorHAnsi"/>
              </w:rPr>
            </w:pPr>
            <w:r w:rsidRPr="00713B3E">
              <w:rPr>
                <w:rFonts w:cstheme="minorHAnsi"/>
              </w:rPr>
              <w:t>38 (12.3%)</w:t>
            </w:r>
          </w:p>
        </w:tc>
        <w:tc>
          <w:tcPr>
            <w:tcW w:w="1620" w:type="dxa"/>
          </w:tcPr>
          <w:p w14:paraId="6A089D74" w14:textId="77777777" w:rsidR="00EB6556" w:rsidRPr="00713B3E" w:rsidRDefault="00EB6556" w:rsidP="00BB35FE">
            <w:pPr>
              <w:jc w:val="both"/>
              <w:rPr>
                <w:rFonts w:cstheme="minorHAnsi"/>
              </w:rPr>
            </w:pPr>
            <w:r w:rsidRPr="00713B3E">
              <w:rPr>
                <w:rFonts w:cstheme="minorHAnsi"/>
              </w:rPr>
              <w:t>87 (2.7%)</w:t>
            </w:r>
          </w:p>
        </w:tc>
      </w:tr>
      <w:tr w:rsidR="00EB6556" w:rsidRPr="00713B3E" w14:paraId="23183DDE" w14:textId="77777777" w:rsidTr="00BB35FE">
        <w:tc>
          <w:tcPr>
            <w:tcW w:w="1332" w:type="dxa"/>
          </w:tcPr>
          <w:p w14:paraId="334B4F75" w14:textId="77777777" w:rsidR="00EB6556" w:rsidRPr="00713B3E" w:rsidRDefault="00EB6556" w:rsidP="00BB35FE">
            <w:pPr>
              <w:jc w:val="both"/>
              <w:rPr>
                <w:rFonts w:cstheme="minorHAnsi"/>
              </w:rPr>
            </w:pPr>
            <w:r w:rsidRPr="00713B3E">
              <w:rPr>
                <w:rFonts w:cstheme="minorHAnsi"/>
              </w:rPr>
              <w:t>First graft</w:t>
            </w:r>
          </w:p>
        </w:tc>
        <w:tc>
          <w:tcPr>
            <w:tcW w:w="1566" w:type="dxa"/>
          </w:tcPr>
          <w:p w14:paraId="6B34108C" w14:textId="77777777" w:rsidR="00EB6556" w:rsidRPr="00713B3E" w:rsidRDefault="00EB6556" w:rsidP="00BB35FE">
            <w:pPr>
              <w:jc w:val="both"/>
              <w:rPr>
                <w:rFonts w:cstheme="minorHAnsi"/>
              </w:rPr>
            </w:pPr>
            <w:r w:rsidRPr="00713B3E">
              <w:rPr>
                <w:rFonts w:cstheme="minorHAnsi"/>
              </w:rPr>
              <w:t>79 of 861 (9.1)</w:t>
            </w:r>
          </w:p>
        </w:tc>
        <w:tc>
          <w:tcPr>
            <w:tcW w:w="1626" w:type="dxa"/>
          </w:tcPr>
          <w:p w14:paraId="476BAAEB" w14:textId="77777777" w:rsidR="00EB6556" w:rsidRPr="00713B3E" w:rsidRDefault="00EB6556" w:rsidP="00BB35FE">
            <w:pPr>
              <w:jc w:val="both"/>
              <w:rPr>
                <w:rFonts w:cstheme="minorHAnsi"/>
              </w:rPr>
            </w:pPr>
            <w:r w:rsidRPr="00713B3E">
              <w:rPr>
                <w:rFonts w:cstheme="minorHAnsi"/>
              </w:rPr>
              <w:t>210 of 2162 (9.7)</w:t>
            </w:r>
          </w:p>
        </w:tc>
        <w:tc>
          <w:tcPr>
            <w:tcW w:w="1699" w:type="dxa"/>
          </w:tcPr>
          <w:p w14:paraId="0888CE1E" w14:textId="77777777" w:rsidR="00EB6556" w:rsidRPr="00713B3E" w:rsidRDefault="00EB6556" w:rsidP="00BB35FE">
            <w:pPr>
              <w:jc w:val="both"/>
              <w:rPr>
                <w:rFonts w:cstheme="minorHAnsi"/>
              </w:rPr>
            </w:pPr>
            <w:r w:rsidRPr="00713B3E">
              <w:rPr>
                <w:rFonts w:cstheme="minorHAnsi"/>
              </w:rPr>
              <w:t>48 of 288 (16.6)</w:t>
            </w:r>
          </w:p>
        </w:tc>
        <w:tc>
          <w:tcPr>
            <w:tcW w:w="1399" w:type="dxa"/>
          </w:tcPr>
          <w:p w14:paraId="03581916" w14:textId="77777777" w:rsidR="00EB6556" w:rsidRPr="00713B3E" w:rsidRDefault="00EB6556" w:rsidP="00BB35FE">
            <w:pPr>
              <w:jc w:val="both"/>
              <w:rPr>
                <w:rFonts w:cstheme="minorHAnsi"/>
              </w:rPr>
            </w:pPr>
            <w:r w:rsidRPr="00713B3E">
              <w:rPr>
                <w:rFonts w:cstheme="minorHAnsi"/>
              </w:rPr>
              <w:t>38 of 278 (13.6)</w:t>
            </w:r>
          </w:p>
        </w:tc>
        <w:tc>
          <w:tcPr>
            <w:tcW w:w="1620" w:type="dxa"/>
          </w:tcPr>
          <w:p w14:paraId="65C71FB5" w14:textId="77777777" w:rsidR="00EB6556" w:rsidRPr="00713B3E" w:rsidRDefault="00EB6556" w:rsidP="00BB35FE">
            <w:pPr>
              <w:jc w:val="both"/>
              <w:rPr>
                <w:rFonts w:cstheme="minorHAnsi"/>
              </w:rPr>
            </w:pPr>
            <w:r w:rsidRPr="00713B3E">
              <w:rPr>
                <w:rFonts w:cstheme="minorHAnsi"/>
              </w:rPr>
              <w:t>76 of 2886 (2.6)</w:t>
            </w:r>
          </w:p>
        </w:tc>
      </w:tr>
      <w:tr w:rsidR="00EB6556" w:rsidRPr="00713B3E" w14:paraId="62EC384E" w14:textId="77777777" w:rsidTr="00BB35FE">
        <w:tc>
          <w:tcPr>
            <w:tcW w:w="1332" w:type="dxa"/>
          </w:tcPr>
          <w:p w14:paraId="740A42B0" w14:textId="77777777" w:rsidR="00EB6556" w:rsidRPr="00713B3E" w:rsidRDefault="00EB6556" w:rsidP="00BB35FE">
            <w:pPr>
              <w:jc w:val="both"/>
              <w:rPr>
                <w:rFonts w:cstheme="minorHAnsi"/>
              </w:rPr>
            </w:pPr>
            <w:r w:rsidRPr="00713B3E">
              <w:rPr>
                <w:rFonts w:cstheme="minorHAnsi"/>
              </w:rPr>
              <w:t>Second graft</w:t>
            </w:r>
          </w:p>
        </w:tc>
        <w:tc>
          <w:tcPr>
            <w:tcW w:w="1566" w:type="dxa"/>
          </w:tcPr>
          <w:p w14:paraId="48AD605C" w14:textId="77777777" w:rsidR="00EB6556" w:rsidRPr="00713B3E" w:rsidRDefault="00EB6556" w:rsidP="00BB35FE">
            <w:pPr>
              <w:jc w:val="both"/>
              <w:rPr>
                <w:rFonts w:cstheme="minorHAnsi"/>
              </w:rPr>
            </w:pPr>
            <w:r w:rsidRPr="00713B3E">
              <w:rPr>
                <w:rFonts w:cstheme="minorHAnsi"/>
              </w:rPr>
              <w:t>19 of 98 (19.3)</w:t>
            </w:r>
          </w:p>
        </w:tc>
        <w:tc>
          <w:tcPr>
            <w:tcW w:w="1626" w:type="dxa"/>
          </w:tcPr>
          <w:p w14:paraId="3E567E2B" w14:textId="77777777" w:rsidR="00EB6556" w:rsidRPr="00713B3E" w:rsidRDefault="00EB6556" w:rsidP="00BB35FE">
            <w:pPr>
              <w:jc w:val="both"/>
              <w:rPr>
                <w:rFonts w:cstheme="minorHAnsi"/>
              </w:rPr>
            </w:pPr>
            <w:r w:rsidRPr="00713B3E">
              <w:rPr>
                <w:rFonts w:cstheme="minorHAnsi"/>
              </w:rPr>
              <w:t>20 of 215 (9.3)</w:t>
            </w:r>
          </w:p>
        </w:tc>
        <w:tc>
          <w:tcPr>
            <w:tcW w:w="1699" w:type="dxa"/>
          </w:tcPr>
          <w:p w14:paraId="1732FBCF" w14:textId="77777777" w:rsidR="00EB6556" w:rsidRPr="00713B3E" w:rsidRDefault="00EB6556" w:rsidP="00BB35FE">
            <w:pPr>
              <w:jc w:val="both"/>
              <w:rPr>
                <w:rFonts w:cstheme="minorHAnsi"/>
              </w:rPr>
            </w:pPr>
            <w:r w:rsidRPr="00713B3E">
              <w:rPr>
                <w:rFonts w:cstheme="minorHAnsi"/>
              </w:rPr>
              <w:t>6 of 55 (10.9)</w:t>
            </w:r>
          </w:p>
        </w:tc>
        <w:tc>
          <w:tcPr>
            <w:tcW w:w="1399" w:type="dxa"/>
          </w:tcPr>
          <w:p w14:paraId="19F2F2EB" w14:textId="77777777" w:rsidR="00EB6556" w:rsidRPr="00713B3E" w:rsidRDefault="00EB6556" w:rsidP="00BB35FE">
            <w:pPr>
              <w:jc w:val="both"/>
              <w:rPr>
                <w:rFonts w:cstheme="minorHAnsi"/>
              </w:rPr>
            </w:pPr>
            <w:r w:rsidRPr="00713B3E">
              <w:rPr>
                <w:rFonts w:cstheme="minorHAnsi"/>
              </w:rPr>
              <w:t>0 of 30 (0)</w:t>
            </w:r>
          </w:p>
        </w:tc>
        <w:tc>
          <w:tcPr>
            <w:tcW w:w="1620" w:type="dxa"/>
          </w:tcPr>
          <w:p w14:paraId="185DD620" w14:textId="77777777" w:rsidR="00EB6556" w:rsidRPr="00713B3E" w:rsidRDefault="00EB6556" w:rsidP="00BB35FE">
            <w:pPr>
              <w:jc w:val="both"/>
              <w:rPr>
                <w:rFonts w:cstheme="minorHAnsi"/>
              </w:rPr>
            </w:pPr>
            <w:r w:rsidRPr="00713B3E">
              <w:rPr>
                <w:rFonts w:cstheme="minorHAnsi"/>
              </w:rPr>
              <w:t>10 of 288 (3.4)</w:t>
            </w:r>
          </w:p>
        </w:tc>
      </w:tr>
      <w:tr w:rsidR="00EB6556" w:rsidRPr="00713B3E" w14:paraId="5140FB89" w14:textId="77777777" w:rsidTr="00BB35FE">
        <w:tc>
          <w:tcPr>
            <w:tcW w:w="1332" w:type="dxa"/>
          </w:tcPr>
          <w:p w14:paraId="1B38E866" w14:textId="77777777" w:rsidR="00EB6556" w:rsidRPr="00713B3E" w:rsidRDefault="00EB6556" w:rsidP="00BB35FE">
            <w:pPr>
              <w:jc w:val="both"/>
              <w:rPr>
                <w:rFonts w:cstheme="minorHAnsi"/>
              </w:rPr>
            </w:pPr>
            <w:r w:rsidRPr="00713B3E">
              <w:rPr>
                <w:rFonts w:cstheme="minorHAnsi"/>
              </w:rPr>
              <w:t>Subsequent grafts</w:t>
            </w:r>
          </w:p>
        </w:tc>
        <w:tc>
          <w:tcPr>
            <w:tcW w:w="1566" w:type="dxa"/>
          </w:tcPr>
          <w:p w14:paraId="71383F48" w14:textId="77777777" w:rsidR="00EB6556" w:rsidRPr="00713B3E" w:rsidRDefault="00EB6556" w:rsidP="00BB35FE">
            <w:pPr>
              <w:jc w:val="both"/>
              <w:rPr>
                <w:rFonts w:cstheme="minorHAnsi"/>
              </w:rPr>
            </w:pPr>
            <w:r w:rsidRPr="00713B3E">
              <w:rPr>
                <w:rFonts w:cstheme="minorHAnsi"/>
              </w:rPr>
              <w:t>3 of 16 (18.7)</w:t>
            </w:r>
          </w:p>
        </w:tc>
        <w:tc>
          <w:tcPr>
            <w:tcW w:w="1626" w:type="dxa"/>
          </w:tcPr>
          <w:p w14:paraId="15E0B022" w14:textId="77777777" w:rsidR="00EB6556" w:rsidRPr="00713B3E" w:rsidRDefault="00EB6556" w:rsidP="00BB35FE">
            <w:pPr>
              <w:jc w:val="both"/>
              <w:rPr>
                <w:rFonts w:cstheme="minorHAnsi"/>
              </w:rPr>
            </w:pPr>
            <w:r w:rsidRPr="00713B3E">
              <w:rPr>
                <w:rFonts w:cstheme="minorHAnsi"/>
              </w:rPr>
              <w:t>1 of 16 (6.2)</w:t>
            </w:r>
          </w:p>
        </w:tc>
        <w:tc>
          <w:tcPr>
            <w:tcW w:w="1699" w:type="dxa"/>
          </w:tcPr>
          <w:p w14:paraId="67D1CF4E" w14:textId="77777777" w:rsidR="00EB6556" w:rsidRPr="00713B3E" w:rsidRDefault="00EB6556" w:rsidP="00BB35FE">
            <w:pPr>
              <w:jc w:val="both"/>
              <w:rPr>
                <w:rFonts w:cstheme="minorHAnsi"/>
              </w:rPr>
            </w:pPr>
            <w:r w:rsidRPr="00713B3E">
              <w:rPr>
                <w:rFonts w:cstheme="minorHAnsi"/>
              </w:rPr>
              <w:t>0 of 5 (0)</w:t>
            </w:r>
          </w:p>
        </w:tc>
        <w:tc>
          <w:tcPr>
            <w:tcW w:w="1399" w:type="dxa"/>
          </w:tcPr>
          <w:p w14:paraId="770AE40F" w14:textId="77777777" w:rsidR="00EB6556" w:rsidRPr="00713B3E" w:rsidRDefault="00EB6556" w:rsidP="00BB35FE">
            <w:pPr>
              <w:jc w:val="both"/>
              <w:rPr>
                <w:rFonts w:cstheme="minorHAnsi"/>
              </w:rPr>
            </w:pPr>
            <w:r w:rsidRPr="00713B3E">
              <w:rPr>
                <w:rFonts w:cstheme="minorHAnsi"/>
              </w:rPr>
              <w:t>0 of 1 (0)</w:t>
            </w:r>
          </w:p>
        </w:tc>
        <w:tc>
          <w:tcPr>
            <w:tcW w:w="1620" w:type="dxa"/>
          </w:tcPr>
          <w:p w14:paraId="77DC15E5" w14:textId="77777777" w:rsidR="00EB6556" w:rsidRPr="00713B3E" w:rsidRDefault="00EB6556" w:rsidP="00BB35FE">
            <w:pPr>
              <w:jc w:val="both"/>
              <w:rPr>
                <w:rFonts w:cstheme="minorHAnsi"/>
              </w:rPr>
            </w:pPr>
            <w:r w:rsidRPr="00713B3E">
              <w:rPr>
                <w:rFonts w:cstheme="minorHAnsi"/>
              </w:rPr>
              <w:t>1 of 37 (2.7)</w:t>
            </w:r>
          </w:p>
        </w:tc>
      </w:tr>
    </w:tbl>
    <w:p w14:paraId="44FE8EA9" w14:textId="77777777" w:rsidR="00EB6556" w:rsidRPr="00713B3E" w:rsidRDefault="00EB6556" w:rsidP="00EB6556">
      <w:pPr>
        <w:jc w:val="both"/>
        <w:rPr>
          <w:rFonts w:cstheme="minorHAnsi"/>
        </w:rPr>
      </w:pPr>
    </w:p>
    <w:p w14:paraId="74B3C5B4" w14:textId="77777777" w:rsidR="00EB6556" w:rsidRPr="00713B3E" w:rsidRDefault="00EB6556" w:rsidP="00F5715E">
      <w:pPr>
        <w:spacing w:line="276" w:lineRule="auto"/>
        <w:jc w:val="both"/>
        <w:rPr>
          <w:rFonts w:cstheme="minorHAnsi"/>
        </w:rPr>
      </w:pPr>
      <w:r w:rsidRPr="00713B3E">
        <w:rPr>
          <w:rFonts w:cstheme="minorHAnsi"/>
        </w:rPr>
        <w:t>Recurrent FSGS in the first</w:t>
      </w:r>
      <w:r>
        <w:rPr>
          <w:rFonts w:cstheme="minorHAnsi"/>
        </w:rPr>
        <w:t xml:space="preserve"> kidney</w:t>
      </w:r>
      <w:r w:rsidRPr="00713B3E">
        <w:rPr>
          <w:rFonts w:cstheme="minorHAnsi"/>
        </w:rPr>
        <w:t xml:space="preserve"> transplant increases the risk of recurrent FSGS in a subsequent transplant/s with </w:t>
      </w:r>
      <w:r>
        <w:rPr>
          <w:rFonts w:cstheme="minorHAnsi"/>
        </w:rPr>
        <w:t xml:space="preserve">a </w:t>
      </w:r>
      <w:r w:rsidRPr="00713B3E">
        <w:rPr>
          <w:rFonts w:cstheme="minorHAnsi"/>
        </w:rPr>
        <w:t xml:space="preserve">shorter duration from diagnosis to kidney failure often associated with </w:t>
      </w:r>
      <w:r>
        <w:rPr>
          <w:rFonts w:cstheme="minorHAnsi"/>
        </w:rPr>
        <w:t xml:space="preserve">a </w:t>
      </w:r>
      <w:r w:rsidRPr="00713B3E">
        <w:rPr>
          <w:rFonts w:cstheme="minorHAnsi"/>
        </w:rPr>
        <w:t xml:space="preserve">higher risk of early recurrence </w:t>
      </w:r>
      <w:r>
        <w:rPr>
          <w:rFonts w:cstheme="minorHAnsi"/>
        </w:rPr>
        <w:t>post-transplant</w:t>
      </w:r>
      <w:r w:rsidRPr="00713B3E">
        <w:rPr>
          <w:rFonts w:cstheme="minorHAnsi"/>
        </w:rPr>
        <w:t xml:space="preserve">. Some studies have suggested this risk is upwards of 60-80% </w:t>
      </w:r>
      <w:r w:rsidRPr="00713B3E">
        <w:rPr>
          <w:rFonts w:cstheme="minorHAnsi"/>
          <w:vertAlign w:val="superscript"/>
        </w:rPr>
        <w:t>8</w:t>
      </w:r>
      <w:r w:rsidRPr="00713B3E">
        <w:rPr>
          <w:rFonts w:cstheme="minorHAnsi"/>
        </w:rPr>
        <w:t xml:space="preserve">. </w:t>
      </w:r>
    </w:p>
    <w:p w14:paraId="2FB48234" w14:textId="77777777" w:rsidR="00EB6556" w:rsidRPr="00713B3E" w:rsidRDefault="00EB6556" w:rsidP="00F5715E">
      <w:pPr>
        <w:spacing w:line="276" w:lineRule="auto"/>
        <w:jc w:val="both"/>
        <w:rPr>
          <w:rFonts w:cstheme="minorHAnsi"/>
        </w:rPr>
      </w:pPr>
      <w:r w:rsidRPr="00713B3E">
        <w:rPr>
          <w:rFonts w:cstheme="minorHAnsi"/>
        </w:rPr>
        <w:t>Other important causes of recurrent diseases include primary oxalosis, atypical haemolytic uraemic syndrome, C3G and Fabry disease.</w:t>
      </w:r>
    </w:p>
    <w:p w14:paraId="3AF3C973" w14:textId="77777777" w:rsidR="00EB6556" w:rsidRPr="00713B3E" w:rsidRDefault="00EB6556" w:rsidP="00F5715E">
      <w:pPr>
        <w:spacing w:line="276" w:lineRule="auto"/>
        <w:jc w:val="both"/>
        <w:rPr>
          <w:rFonts w:cstheme="minorHAnsi"/>
        </w:rPr>
      </w:pPr>
      <w:r w:rsidRPr="00713B3E">
        <w:rPr>
          <w:rFonts w:cstheme="minorHAnsi"/>
        </w:rPr>
        <w:t xml:space="preserve">Appropriate counselling with specific reference to high rates of recurrence and graft failure (in those with aggressive recurrence) in patients with FSGS is essential </w:t>
      </w:r>
      <w:r>
        <w:rPr>
          <w:rFonts w:cstheme="minorHAnsi"/>
        </w:rPr>
        <w:t>pre-transplant</w:t>
      </w:r>
      <w:r w:rsidRPr="00713B3E">
        <w:rPr>
          <w:rFonts w:cstheme="minorHAnsi"/>
        </w:rPr>
        <w:t xml:space="preserve"> and should be part of donor counselling for living donor kidney transplants. Patients with atypical HUS and C3G are at high risk of recurrence in transplant kidney</w:t>
      </w:r>
      <w:r w:rsidRPr="00713B3E">
        <w:rPr>
          <w:rFonts w:cstheme="minorHAnsi"/>
          <w:vertAlign w:val="superscript"/>
        </w:rPr>
        <w:t>9</w:t>
      </w:r>
      <w:r w:rsidRPr="00713B3E">
        <w:rPr>
          <w:rFonts w:cstheme="minorHAnsi"/>
        </w:rPr>
        <w:t xml:space="preserve"> and should also receive appropriate counselling </w:t>
      </w:r>
      <w:r>
        <w:rPr>
          <w:rFonts w:cstheme="minorHAnsi"/>
        </w:rPr>
        <w:t>pre-transplant</w:t>
      </w:r>
      <w:r w:rsidRPr="00713B3E">
        <w:rPr>
          <w:rFonts w:cstheme="minorHAnsi"/>
        </w:rPr>
        <w:t xml:space="preserve"> with </w:t>
      </w:r>
      <w:r>
        <w:rPr>
          <w:rFonts w:cstheme="minorHAnsi"/>
        </w:rPr>
        <w:t xml:space="preserve">a </w:t>
      </w:r>
      <w:r w:rsidRPr="00713B3E">
        <w:rPr>
          <w:rFonts w:cstheme="minorHAnsi"/>
        </w:rPr>
        <w:t xml:space="preserve">clear management plan discussed and decided </w:t>
      </w:r>
      <w:r>
        <w:rPr>
          <w:rFonts w:cstheme="minorHAnsi"/>
        </w:rPr>
        <w:t>pre-transplant</w:t>
      </w:r>
      <w:r w:rsidRPr="00713B3E">
        <w:rPr>
          <w:rFonts w:cstheme="minorHAnsi"/>
        </w:rPr>
        <w:t xml:space="preserve"> at a multidisciplinary meeting.   </w:t>
      </w:r>
    </w:p>
    <w:p w14:paraId="35842256" w14:textId="77777777" w:rsidR="00EB6556" w:rsidRPr="00713B3E" w:rsidRDefault="00EB6556" w:rsidP="00F5715E">
      <w:pPr>
        <w:spacing w:line="276" w:lineRule="auto"/>
        <w:jc w:val="both"/>
        <w:rPr>
          <w:rFonts w:cstheme="minorHAnsi"/>
        </w:rPr>
      </w:pPr>
      <w:r w:rsidRPr="00713B3E">
        <w:rPr>
          <w:rFonts w:cstheme="minorHAnsi"/>
        </w:rPr>
        <w:t>Early recurrence with nephrotic range proteinuria and rapidly declining kidney function can occur in recurrent FSGS (with up to 60% graft loss) and this merits consideration of aggressive management options that include plasmapheresis and Rituximab</w:t>
      </w:r>
      <w:r w:rsidRPr="00713B3E">
        <w:rPr>
          <w:rFonts w:cstheme="minorHAnsi"/>
          <w:vertAlign w:val="superscript"/>
        </w:rPr>
        <w:t>10</w:t>
      </w:r>
      <w:r w:rsidRPr="00713B3E">
        <w:rPr>
          <w:rFonts w:cstheme="minorHAnsi"/>
        </w:rPr>
        <w:t xml:space="preserve">. </w:t>
      </w:r>
      <w:r>
        <w:rPr>
          <w:rFonts w:cstheme="minorHAnsi"/>
        </w:rPr>
        <w:t>The usual</w:t>
      </w:r>
      <w:r w:rsidRPr="00713B3E">
        <w:rPr>
          <w:rFonts w:cstheme="minorHAnsi"/>
        </w:rPr>
        <w:t xml:space="preserve"> regime used is 5 sessions of plasmapheresis followed by 2 </w:t>
      </w:r>
      <w:r>
        <w:rPr>
          <w:rFonts w:cstheme="minorHAnsi"/>
        </w:rPr>
        <w:t>doses</w:t>
      </w:r>
      <w:r w:rsidRPr="00713B3E">
        <w:rPr>
          <w:rFonts w:cstheme="minorHAnsi"/>
        </w:rPr>
        <w:t xml:space="preserve"> of Rituximab of 1g each given 2 weeks apart. Some patients require repeat sessions of plasmapheresis and Rituximab depending on their clinical course. A prophylactic strategy to give plasmapheresis and Rituximab for prevention of FSGS recurrence is not recommended </w:t>
      </w:r>
      <w:r w:rsidRPr="00713B3E">
        <w:rPr>
          <w:rFonts w:cstheme="minorHAnsi"/>
          <w:vertAlign w:val="superscript"/>
        </w:rPr>
        <w:t>11</w:t>
      </w:r>
      <w:r w:rsidRPr="00713B3E">
        <w:rPr>
          <w:rFonts w:cstheme="minorHAnsi"/>
        </w:rPr>
        <w:t xml:space="preserve">. Patients with atypical HUS with defined complement abnormalities and MCGN with associated complement abnormalities (C3 glomerulonephritis and dense deposit disease) should be discussed at regional transplant multidisciplinary meetings and UK national atypical HUS service before transplantation to have a clear management plan in case of disease recurrence post-transplant. Selective complement inhibition with Eculizumab has been shown to be an effective preventive strategy for patients at high risk of recurrence (based on </w:t>
      </w:r>
      <w:r>
        <w:rPr>
          <w:rFonts w:cstheme="minorHAnsi"/>
        </w:rPr>
        <w:t xml:space="preserve">the </w:t>
      </w:r>
      <w:r w:rsidRPr="00713B3E">
        <w:rPr>
          <w:rFonts w:cstheme="minorHAnsi"/>
        </w:rPr>
        <w:t>clinical history and complement defects) and for the management of recurrent disease</w:t>
      </w:r>
      <w:r w:rsidRPr="00713B3E">
        <w:rPr>
          <w:rFonts w:cstheme="minorHAnsi"/>
          <w:vertAlign w:val="superscript"/>
        </w:rPr>
        <w:t>12</w:t>
      </w:r>
      <w:r w:rsidRPr="00713B3E">
        <w:rPr>
          <w:rFonts w:cstheme="minorHAnsi"/>
        </w:rPr>
        <w:t xml:space="preserve">. However, given the high cost of this therapy and uncertainties around </w:t>
      </w:r>
      <w:r>
        <w:rPr>
          <w:rFonts w:cstheme="minorHAnsi"/>
        </w:rPr>
        <w:t xml:space="preserve">the </w:t>
      </w:r>
      <w:r w:rsidRPr="00713B3E">
        <w:rPr>
          <w:rFonts w:cstheme="minorHAnsi"/>
        </w:rPr>
        <w:t xml:space="preserve">duration of therapy </w:t>
      </w:r>
      <w:r>
        <w:rPr>
          <w:rFonts w:cstheme="minorHAnsi"/>
        </w:rPr>
        <w:t>post-transplant</w:t>
      </w:r>
      <w:r w:rsidRPr="00713B3E">
        <w:rPr>
          <w:rFonts w:cstheme="minorHAnsi"/>
        </w:rPr>
        <w:t xml:space="preserve">, it is important to establish a clear management plan pre-transplant. </w:t>
      </w:r>
    </w:p>
    <w:p w14:paraId="292603C0" w14:textId="77777777" w:rsidR="00EB6556" w:rsidRPr="00713B3E" w:rsidRDefault="00EB6556" w:rsidP="00F5715E">
      <w:pPr>
        <w:spacing w:line="276" w:lineRule="auto"/>
        <w:jc w:val="both"/>
        <w:rPr>
          <w:rFonts w:cstheme="minorHAnsi"/>
        </w:rPr>
      </w:pPr>
      <w:r w:rsidRPr="00713B3E">
        <w:rPr>
          <w:rFonts w:cstheme="minorHAnsi"/>
        </w:rPr>
        <w:t xml:space="preserve">No specific recommendation can be made for the management of recurrent IgA nephropathy apart from </w:t>
      </w:r>
      <w:r>
        <w:rPr>
          <w:rFonts w:cstheme="minorHAnsi"/>
        </w:rPr>
        <w:t xml:space="preserve">the </w:t>
      </w:r>
      <w:r w:rsidRPr="00713B3E">
        <w:rPr>
          <w:rFonts w:cstheme="minorHAnsi"/>
        </w:rPr>
        <w:t xml:space="preserve">general management of hypertension and proteinuria with </w:t>
      </w:r>
      <w:r>
        <w:rPr>
          <w:rFonts w:cstheme="minorHAnsi"/>
        </w:rPr>
        <w:t>renin-angiotensin system (</w:t>
      </w:r>
      <w:r w:rsidRPr="00713B3E">
        <w:rPr>
          <w:rFonts w:cstheme="minorHAnsi"/>
        </w:rPr>
        <w:t>RAS</w:t>
      </w:r>
      <w:r>
        <w:rPr>
          <w:rFonts w:cstheme="minorHAnsi"/>
        </w:rPr>
        <w:t>)</w:t>
      </w:r>
      <w:r w:rsidRPr="00713B3E">
        <w:rPr>
          <w:rFonts w:cstheme="minorHAnsi"/>
        </w:rPr>
        <w:t xml:space="preserve"> blockade</w:t>
      </w:r>
      <w:r>
        <w:rPr>
          <w:rFonts w:cstheme="minorHAnsi"/>
        </w:rPr>
        <w:t xml:space="preserve">. Emerging new therapies for IgA disease could potentially change this. </w:t>
      </w:r>
    </w:p>
    <w:p w14:paraId="326AB3AB" w14:textId="77777777" w:rsidR="00EB6556" w:rsidRPr="00713B3E" w:rsidRDefault="00EB6556" w:rsidP="00F5715E">
      <w:pPr>
        <w:spacing w:line="276" w:lineRule="auto"/>
        <w:jc w:val="both"/>
        <w:rPr>
          <w:rFonts w:cstheme="minorHAnsi"/>
        </w:rPr>
      </w:pPr>
      <w:r w:rsidRPr="00713B3E">
        <w:rPr>
          <w:rFonts w:cstheme="minorHAnsi"/>
        </w:rPr>
        <w:lastRenderedPageBreak/>
        <w:t xml:space="preserve">Other diseases that can rarely recur in the transplanted kidney include membranous nephropathy, ANCA-associated vasculitis and SLE. Specific treatment </w:t>
      </w:r>
      <w:proofErr w:type="gramStart"/>
      <w:r w:rsidRPr="00713B3E">
        <w:rPr>
          <w:rFonts w:cstheme="minorHAnsi"/>
        </w:rPr>
        <w:t>similar</w:t>
      </w:r>
      <w:r>
        <w:rPr>
          <w:rFonts w:cstheme="minorHAnsi"/>
        </w:rPr>
        <w:t xml:space="preserve"> </w:t>
      </w:r>
      <w:r w:rsidRPr="00713B3E">
        <w:rPr>
          <w:rFonts w:cstheme="minorHAnsi"/>
        </w:rPr>
        <w:t>to</w:t>
      </w:r>
      <w:proofErr w:type="gramEnd"/>
      <w:r w:rsidRPr="00713B3E">
        <w:rPr>
          <w:rFonts w:cstheme="minorHAnsi"/>
        </w:rPr>
        <w:t xml:space="preserve"> that used for </w:t>
      </w:r>
      <w:r>
        <w:rPr>
          <w:rFonts w:cstheme="minorHAnsi"/>
        </w:rPr>
        <w:t xml:space="preserve">the </w:t>
      </w:r>
      <w:r w:rsidRPr="00713B3E">
        <w:rPr>
          <w:rFonts w:cstheme="minorHAnsi"/>
        </w:rPr>
        <w:t xml:space="preserve">disease in the native kidney may be indicated.  Persistent </w:t>
      </w:r>
      <w:r>
        <w:rPr>
          <w:rFonts w:cstheme="minorHAnsi"/>
        </w:rPr>
        <w:t>seropositivity</w:t>
      </w:r>
      <w:r w:rsidRPr="00713B3E">
        <w:rPr>
          <w:rFonts w:cstheme="minorHAnsi"/>
        </w:rPr>
        <w:t xml:space="preserve"> for disease-associated autoantibodies (</w:t>
      </w:r>
      <w:r>
        <w:rPr>
          <w:rFonts w:cstheme="minorHAnsi"/>
        </w:rPr>
        <w:t>e</w:t>
      </w:r>
      <w:r w:rsidRPr="00713B3E">
        <w:rPr>
          <w:rFonts w:cstheme="minorHAnsi"/>
        </w:rPr>
        <w:t xml:space="preserve">g, </w:t>
      </w:r>
      <w:r>
        <w:rPr>
          <w:rFonts w:cstheme="minorHAnsi"/>
        </w:rPr>
        <w:t>anti-PLA2R</w:t>
      </w:r>
      <w:r w:rsidRPr="00713B3E">
        <w:rPr>
          <w:rFonts w:cstheme="minorHAnsi"/>
        </w:rPr>
        <w:t xml:space="preserve"> or ANCA) is not a contra-indication to re-transplantation in patients in clinical remission.  Management of these patients will need to be decided on </w:t>
      </w:r>
      <w:r>
        <w:rPr>
          <w:rFonts w:cstheme="minorHAnsi"/>
        </w:rPr>
        <w:t xml:space="preserve">a </w:t>
      </w:r>
      <w:r w:rsidRPr="00713B3E">
        <w:rPr>
          <w:rFonts w:cstheme="minorHAnsi"/>
        </w:rPr>
        <w:t>case-by-case basis.</w:t>
      </w:r>
    </w:p>
    <w:p w14:paraId="427B7592" w14:textId="77777777" w:rsidR="00EB6556" w:rsidRPr="00713B3E" w:rsidRDefault="00EB6556" w:rsidP="00F5715E">
      <w:pPr>
        <w:spacing w:line="276" w:lineRule="auto"/>
        <w:jc w:val="both"/>
        <w:rPr>
          <w:rFonts w:cstheme="minorHAnsi"/>
        </w:rPr>
      </w:pPr>
      <w:r w:rsidRPr="00713B3E">
        <w:rPr>
          <w:rFonts w:cstheme="minorHAnsi"/>
        </w:rPr>
        <w:t xml:space="preserve">In the context of </w:t>
      </w:r>
      <w:r>
        <w:rPr>
          <w:rFonts w:cstheme="minorHAnsi"/>
        </w:rPr>
        <w:t xml:space="preserve">a </w:t>
      </w:r>
      <w:r w:rsidRPr="00713B3E">
        <w:rPr>
          <w:rFonts w:cstheme="minorHAnsi"/>
        </w:rPr>
        <w:t xml:space="preserve">failing transplant kidney with progressive decline in eGFR and advanced </w:t>
      </w:r>
      <w:r>
        <w:rPr>
          <w:rFonts w:cstheme="minorHAnsi"/>
        </w:rPr>
        <w:t>tubulointerstitial</w:t>
      </w:r>
      <w:r w:rsidRPr="00713B3E">
        <w:rPr>
          <w:rFonts w:cstheme="minorHAnsi"/>
        </w:rPr>
        <w:t xml:space="preserve"> fibrosis on biopsy, specific treatment targeted to recurrent glomerular disease is not recommended. The management in this situation should be focused on blood pressure control, optimisation of diabetes treatment, attention to other </w:t>
      </w:r>
      <w:r>
        <w:rPr>
          <w:rFonts w:cstheme="minorHAnsi"/>
        </w:rPr>
        <w:t>cardiovascular</w:t>
      </w:r>
      <w:r w:rsidRPr="00713B3E">
        <w:rPr>
          <w:rFonts w:cstheme="minorHAnsi"/>
        </w:rPr>
        <w:t xml:space="preserve"> risk factors (smoking and lipids), weight management and management of complications associated with CKD (anaemia and bone disease). Their care may be best coordinated in a </w:t>
      </w:r>
      <w:r>
        <w:rPr>
          <w:rFonts w:cstheme="minorHAnsi"/>
        </w:rPr>
        <w:t>low-clearance</w:t>
      </w:r>
      <w:r w:rsidRPr="00713B3E">
        <w:rPr>
          <w:rFonts w:cstheme="minorHAnsi"/>
        </w:rPr>
        <w:t xml:space="preserve"> transplant clinic. </w:t>
      </w:r>
    </w:p>
    <w:p w14:paraId="155A42B3" w14:textId="53E9B70D" w:rsidR="00EB6556" w:rsidRPr="00713B3E" w:rsidRDefault="00F5715E" w:rsidP="00A44486">
      <w:pPr>
        <w:pStyle w:val="Heading3"/>
      </w:pPr>
      <w:bookmarkStart w:id="148" w:name="_Toc128330053"/>
      <w:r>
        <w:t>References</w:t>
      </w:r>
      <w:bookmarkEnd w:id="148"/>
    </w:p>
    <w:p w14:paraId="42BD8CA4" w14:textId="77777777" w:rsidR="00EB6556" w:rsidRPr="00F5715E" w:rsidRDefault="00EB6556" w:rsidP="0082468C">
      <w:pPr>
        <w:spacing w:after="0" w:line="276" w:lineRule="auto"/>
        <w:jc w:val="both"/>
        <w:rPr>
          <w:rFonts w:cstheme="minorHAnsi"/>
        </w:rPr>
      </w:pPr>
      <w:r w:rsidRPr="00713B3E">
        <w:rPr>
          <w:rFonts w:cstheme="minorHAnsi"/>
        </w:rPr>
        <w:t>1.</w:t>
      </w:r>
      <w:r w:rsidRPr="00713B3E">
        <w:rPr>
          <w:rFonts w:cstheme="minorHAnsi"/>
        </w:rPr>
        <w:tab/>
      </w:r>
      <w:r w:rsidRPr="00F5715E">
        <w:rPr>
          <w:rFonts w:cstheme="minorHAnsi"/>
        </w:rPr>
        <w:t xml:space="preserve">Coemans, M., et al., Occurrence of Diabetic Nephropathy After Renal Transplantation Despite Intensive Glycemic Control: An Observational Cohort Study. Diabetes Care, 2019. </w:t>
      </w:r>
      <w:r w:rsidRPr="00F5715E">
        <w:rPr>
          <w:rFonts w:cstheme="minorHAnsi"/>
          <w:b/>
        </w:rPr>
        <w:t>42</w:t>
      </w:r>
      <w:r w:rsidRPr="00F5715E">
        <w:rPr>
          <w:rFonts w:cstheme="minorHAnsi"/>
        </w:rPr>
        <w:t>(4): p. 625-634.</w:t>
      </w:r>
    </w:p>
    <w:p w14:paraId="7CC95195" w14:textId="77777777" w:rsidR="00EB6556" w:rsidRPr="00F5715E" w:rsidRDefault="00EB6556" w:rsidP="0082468C">
      <w:pPr>
        <w:spacing w:after="0" w:line="276" w:lineRule="auto"/>
        <w:jc w:val="both"/>
        <w:rPr>
          <w:rFonts w:cstheme="minorHAnsi"/>
        </w:rPr>
      </w:pPr>
      <w:r w:rsidRPr="00F5715E">
        <w:rPr>
          <w:rFonts w:cstheme="minorHAnsi"/>
        </w:rPr>
        <w:t>2.</w:t>
      </w:r>
      <w:r w:rsidRPr="00F5715E">
        <w:rPr>
          <w:rFonts w:cstheme="minorHAnsi"/>
        </w:rPr>
        <w:tab/>
        <w:t xml:space="preserve">Burton, H., et al., Causes of renal allograft failure in the UK: trends in UK Renal Registry and National Health Service Blood and Transplant data from 2000 to 2013. Nephrology Dialysis Transplantation, 2018. </w:t>
      </w:r>
      <w:r w:rsidRPr="00F5715E">
        <w:rPr>
          <w:rFonts w:cstheme="minorHAnsi"/>
          <w:b/>
        </w:rPr>
        <w:t>34</w:t>
      </w:r>
      <w:r w:rsidRPr="00F5715E">
        <w:rPr>
          <w:rFonts w:cstheme="minorHAnsi"/>
        </w:rPr>
        <w:t>(2): p. 355-364.</w:t>
      </w:r>
    </w:p>
    <w:p w14:paraId="524BB172" w14:textId="77777777" w:rsidR="00EB6556" w:rsidRPr="00F5715E" w:rsidRDefault="00EB6556" w:rsidP="0082468C">
      <w:pPr>
        <w:spacing w:after="0" w:line="276" w:lineRule="auto"/>
        <w:jc w:val="both"/>
        <w:rPr>
          <w:rFonts w:cstheme="minorHAnsi"/>
        </w:rPr>
      </w:pPr>
      <w:r w:rsidRPr="00F5715E">
        <w:rPr>
          <w:rFonts w:cstheme="minorHAnsi"/>
        </w:rPr>
        <w:t>3.</w:t>
      </w:r>
      <w:r w:rsidRPr="00F5715E">
        <w:rPr>
          <w:rFonts w:cstheme="minorHAnsi"/>
        </w:rPr>
        <w:tab/>
        <w:t xml:space="preserve">Cosio, F.G. and D.C. Cattran, Recent advances in our understanding of recurrent primary glomerulonephritis after kidney transplantation. Kidney Int, 2017. </w:t>
      </w:r>
      <w:r w:rsidRPr="00F5715E">
        <w:rPr>
          <w:rFonts w:cstheme="minorHAnsi"/>
          <w:b/>
        </w:rPr>
        <w:t>91</w:t>
      </w:r>
      <w:r w:rsidRPr="00F5715E">
        <w:rPr>
          <w:rFonts w:cstheme="minorHAnsi"/>
        </w:rPr>
        <w:t>(2): p. 304-314.</w:t>
      </w:r>
    </w:p>
    <w:p w14:paraId="3CE3470B" w14:textId="77777777" w:rsidR="00EB6556" w:rsidRPr="00F5715E" w:rsidRDefault="00EB6556" w:rsidP="0082468C">
      <w:pPr>
        <w:spacing w:after="0" w:line="276" w:lineRule="auto"/>
        <w:jc w:val="both"/>
        <w:rPr>
          <w:rFonts w:cstheme="minorHAnsi"/>
        </w:rPr>
      </w:pPr>
      <w:r w:rsidRPr="00F5715E">
        <w:rPr>
          <w:rFonts w:cstheme="minorHAnsi"/>
        </w:rPr>
        <w:t>4.</w:t>
      </w:r>
      <w:r w:rsidRPr="00F5715E">
        <w:rPr>
          <w:rFonts w:cstheme="minorHAnsi"/>
        </w:rPr>
        <w:tab/>
        <w:t xml:space="preserve">Naesens, M., et al., The histology of kidney transplant failure: a long-term follow-up study. Transplantation, 2014. </w:t>
      </w:r>
      <w:r w:rsidRPr="00F5715E">
        <w:rPr>
          <w:rFonts w:cstheme="minorHAnsi"/>
          <w:b/>
        </w:rPr>
        <w:t>98</w:t>
      </w:r>
      <w:r w:rsidRPr="00F5715E">
        <w:rPr>
          <w:rFonts w:cstheme="minorHAnsi"/>
        </w:rPr>
        <w:t>(4): p. 427-35.</w:t>
      </w:r>
    </w:p>
    <w:p w14:paraId="762948A9" w14:textId="77777777" w:rsidR="00EB6556" w:rsidRPr="00F5715E" w:rsidRDefault="00EB6556" w:rsidP="0082468C">
      <w:pPr>
        <w:spacing w:after="0" w:line="276" w:lineRule="auto"/>
        <w:jc w:val="both"/>
        <w:rPr>
          <w:rFonts w:cstheme="minorHAnsi"/>
        </w:rPr>
      </w:pPr>
      <w:r w:rsidRPr="00F5715E">
        <w:rPr>
          <w:rFonts w:cstheme="minorHAnsi"/>
        </w:rPr>
        <w:t>5.</w:t>
      </w:r>
      <w:r w:rsidRPr="00F5715E">
        <w:rPr>
          <w:rFonts w:cstheme="minorHAnsi"/>
        </w:rPr>
        <w:tab/>
        <w:t xml:space="preserve">Jiang, S.H., A.L. Kennard, and G.D. Walters, Recurrent glomerulonephritis following renal transplantation and impact on graft survival. BMC Nephrol, 2018. </w:t>
      </w:r>
      <w:r w:rsidRPr="00F5715E">
        <w:rPr>
          <w:rFonts w:cstheme="minorHAnsi"/>
          <w:b/>
        </w:rPr>
        <w:t>19</w:t>
      </w:r>
      <w:r w:rsidRPr="00F5715E">
        <w:rPr>
          <w:rFonts w:cstheme="minorHAnsi"/>
        </w:rPr>
        <w:t>(1): p. 344.</w:t>
      </w:r>
    </w:p>
    <w:p w14:paraId="28D5692B" w14:textId="77777777" w:rsidR="00EB6556" w:rsidRPr="00F5715E" w:rsidRDefault="00EB6556" w:rsidP="0082468C">
      <w:pPr>
        <w:spacing w:after="0" w:line="276" w:lineRule="auto"/>
        <w:jc w:val="both"/>
        <w:rPr>
          <w:rFonts w:cstheme="minorHAnsi"/>
        </w:rPr>
      </w:pPr>
      <w:r w:rsidRPr="00F5715E">
        <w:rPr>
          <w:rFonts w:cstheme="minorHAnsi"/>
        </w:rPr>
        <w:t>6.</w:t>
      </w:r>
      <w:r w:rsidRPr="00F5715E">
        <w:rPr>
          <w:rFonts w:cstheme="minorHAnsi"/>
        </w:rPr>
        <w:tab/>
        <w:t xml:space="preserve">Sellarés, J., et al., Understanding the causes of kidney transplant failure: the dominant role of antibody-mediated rejection and nonadherence. Am J Transplant, 2012. </w:t>
      </w:r>
      <w:r w:rsidRPr="00F5715E">
        <w:rPr>
          <w:rFonts w:cstheme="minorHAnsi"/>
          <w:b/>
        </w:rPr>
        <w:t>12</w:t>
      </w:r>
      <w:r w:rsidRPr="00F5715E">
        <w:rPr>
          <w:rFonts w:cstheme="minorHAnsi"/>
        </w:rPr>
        <w:t>(2): p. 388-99.</w:t>
      </w:r>
    </w:p>
    <w:p w14:paraId="1E304E25" w14:textId="77777777" w:rsidR="00EB6556" w:rsidRPr="00F5715E" w:rsidRDefault="00EB6556" w:rsidP="0082468C">
      <w:pPr>
        <w:spacing w:after="0" w:line="276" w:lineRule="auto"/>
        <w:jc w:val="both"/>
        <w:rPr>
          <w:rFonts w:cstheme="minorHAnsi"/>
        </w:rPr>
      </w:pPr>
      <w:r w:rsidRPr="00F5715E">
        <w:rPr>
          <w:rFonts w:cstheme="minorHAnsi"/>
        </w:rPr>
        <w:t>7.</w:t>
      </w:r>
      <w:r w:rsidRPr="00F5715E">
        <w:rPr>
          <w:rFonts w:cstheme="minorHAnsi"/>
        </w:rPr>
        <w:tab/>
        <w:t xml:space="preserve">Pippias, M., et al., Long-term Kidney Transplant Outcomes in Primary Glomerulonephritis: Analysis From the ERA-EDTA Registry. Transplantation, 2016. </w:t>
      </w:r>
      <w:r w:rsidRPr="00F5715E">
        <w:rPr>
          <w:rFonts w:cstheme="minorHAnsi"/>
          <w:b/>
        </w:rPr>
        <w:t>100</w:t>
      </w:r>
      <w:r w:rsidRPr="00F5715E">
        <w:rPr>
          <w:rFonts w:cstheme="minorHAnsi"/>
        </w:rPr>
        <w:t>(9): p. 1955-62.</w:t>
      </w:r>
    </w:p>
    <w:p w14:paraId="3E32ABC5" w14:textId="77777777" w:rsidR="00EB6556" w:rsidRPr="00F5715E" w:rsidRDefault="00EB6556" w:rsidP="0082468C">
      <w:pPr>
        <w:spacing w:after="0" w:line="276" w:lineRule="auto"/>
        <w:jc w:val="both"/>
        <w:rPr>
          <w:rFonts w:cstheme="minorHAnsi"/>
        </w:rPr>
      </w:pPr>
      <w:r w:rsidRPr="00F5715E">
        <w:rPr>
          <w:rFonts w:cstheme="minorHAnsi"/>
        </w:rPr>
        <w:t>8.</w:t>
      </w:r>
      <w:r w:rsidRPr="00F5715E">
        <w:rPr>
          <w:rFonts w:cstheme="minorHAnsi"/>
        </w:rPr>
        <w:tab/>
        <w:t xml:space="preserve">Artero, M., et al., Recurrent focal glomerulosclerosis: natural history and response to therapy. Am J Med, 1992. </w:t>
      </w:r>
      <w:r w:rsidRPr="00F5715E">
        <w:rPr>
          <w:rFonts w:cstheme="minorHAnsi"/>
          <w:b/>
        </w:rPr>
        <w:t>92</w:t>
      </w:r>
      <w:r w:rsidRPr="00F5715E">
        <w:rPr>
          <w:rFonts w:cstheme="minorHAnsi"/>
        </w:rPr>
        <w:t>(4): p. 375-83.</w:t>
      </w:r>
    </w:p>
    <w:p w14:paraId="38F48599" w14:textId="77777777" w:rsidR="00EB6556" w:rsidRPr="00F5715E" w:rsidRDefault="00EB6556" w:rsidP="0082468C">
      <w:pPr>
        <w:spacing w:after="0" w:line="276" w:lineRule="auto"/>
        <w:jc w:val="both"/>
        <w:rPr>
          <w:rFonts w:cstheme="minorHAnsi"/>
        </w:rPr>
      </w:pPr>
      <w:r w:rsidRPr="00F5715E">
        <w:rPr>
          <w:rFonts w:cstheme="minorHAnsi"/>
        </w:rPr>
        <w:t>9.</w:t>
      </w:r>
      <w:r w:rsidRPr="00F5715E">
        <w:rPr>
          <w:rFonts w:cstheme="minorHAnsi"/>
        </w:rPr>
        <w:tab/>
        <w:t xml:space="preserve">Regunathan-Shenk, R., et al., Kidney Transplantation in C3 Glomerulopathy: A Case Series. Am J Kidney Dis, 2019. </w:t>
      </w:r>
      <w:r w:rsidRPr="00F5715E">
        <w:rPr>
          <w:rFonts w:cstheme="minorHAnsi"/>
          <w:b/>
        </w:rPr>
        <w:t>73</w:t>
      </w:r>
      <w:r w:rsidRPr="00F5715E">
        <w:rPr>
          <w:rFonts w:cstheme="minorHAnsi"/>
        </w:rPr>
        <w:t>(3): p. 316-323.</w:t>
      </w:r>
    </w:p>
    <w:p w14:paraId="17B6210A" w14:textId="77777777" w:rsidR="00EB6556" w:rsidRPr="00F5715E" w:rsidRDefault="00EB6556" w:rsidP="0082468C">
      <w:pPr>
        <w:spacing w:after="0" w:line="276" w:lineRule="auto"/>
        <w:jc w:val="both"/>
        <w:rPr>
          <w:rFonts w:cstheme="minorHAnsi"/>
        </w:rPr>
      </w:pPr>
      <w:r w:rsidRPr="00F5715E">
        <w:rPr>
          <w:rFonts w:cstheme="minorHAnsi"/>
        </w:rPr>
        <w:t>10.</w:t>
      </w:r>
      <w:r w:rsidRPr="00F5715E">
        <w:rPr>
          <w:rFonts w:cstheme="minorHAnsi"/>
        </w:rPr>
        <w:tab/>
        <w:t xml:space="preserve">Alasfar, S., et al., Rituximab and Therapeutic Plasma Exchange in Recurrent Focal Segmental Glomerulosclerosis Postkidney Transplantation. Transplantation, 2018. </w:t>
      </w:r>
      <w:r w:rsidRPr="00F5715E">
        <w:rPr>
          <w:rFonts w:cstheme="minorHAnsi"/>
          <w:b/>
        </w:rPr>
        <w:t>102</w:t>
      </w:r>
      <w:r w:rsidRPr="00F5715E">
        <w:rPr>
          <w:rFonts w:cstheme="minorHAnsi"/>
        </w:rPr>
        <w:t>(3): p. e115-e120.</w:t>
      </w:r>
    </w:p>
    <w:p w14:paraId="411E4A09" w14:textId="77777777" w:rsidR="00EB6556" w:rsidRPr="00F5715E" w:rsidRDefault="00EB6556" w:rsidP="0082468C">
      <w:pPr>
        <w:spacing w:after="0" w:line="276" w:lineRule="auto"/>
        <w:jc w:val="both"/>
        <w:rPr>
          <w:rFonts w:cstheme="minorHAnsi"/>
        </w:rPr>
      </w:pPr>
      <w:r w:rsidRPr="00F5715E">
        <w:rPr>
          <w:rFonts w:cstheme="minorHAnsi"/>
        </w:rPr>
        <w:t>11.</w:t>
      </w:r>
      <w:r w:rsidRPr="00F5715E">
        <w:rPr>
          <w:rFonts w:cstheme="minorHAnsi"/>
        </w:rPr>
        <w:tab/>
        <w:t xml:space="preserve">Boonpheng, B., et al., Rituximab or plasmapheresis for prevention of recurrent focal segmental glomerulosclerosis after kidney transplantation: A systematic review and meta-analysis. World J Transplant, 2021. </w:t>
      </w:r>
      <w:r w:rsidRPr="00F5715E">
        <w:rPr>
          <w:rFonts w:cstheme="minorHAnsi"/>
          <w:b/>
        </w:rPr>
        <w:t>11</w:t>
      </w:r>
      <w:r w:rsidRPr="00F5715E">
        <w:rPr>
          <w:rFonts w:cstheme="minorHAnsi"/>
        </w:rPr>
        <w:t>(7): p. 303-319.</w:t>
      </w:r>
    </w:p>
    <w:p w14:paraId="1D92724E" w14:textId="34097E79" w:rsidR="00EB6556" w:rsidRDefault="00EB6556" w:rsidP="0082468C">
      <w:pPr>
        <w:spacing w:after="0" w:line="276" w:lineRule="auto"/>
        <w:jc w:val="both"/>
        <w:rPr>
          <w:rFonts w:cstheme="minorHAnsi"/>
        </w:rPr>
      </w:pPr>
      <w:r w:rsidRPr="00F5715E">
        <w:rPr>
          <w:rFonts w:cstheme="minorHAnsi"/>
        </w:rPr>
        <w:t>12.</w:t>
      </w:r>
      <w:r w:rsidRPr="00F5715E">
        <w:rPr>
          <w:rFonts w:cstheme="minorHAnsi"/>
        </w:rPr>
        <w:tab/>
        <w:t xml:space="preserve">Zuber, J., et al., Use of Highly Individualized Complement Blockade Has Revolutionized Clinical Outcomes after Kidney Transplantation and Renal Epidemiology of Atypical Hemolytic Uremic Syndrome. J Am Soc Nephrol, 2019. </w:t>
      </w:r>
      <w:r w:rsidRPr="00F5715E">
        <w:rPr>
          <w:rFonts w:cstheme="minorHAnsi"/>
          <w:b/>
        </w:rPr>
        <w:t>30</w:t>
      </w:r>
      <w:r w:rsidRPr="00F5715E">
        <w:rPr>
          <w:rFonts w:cstheme="minorHAnsi"/>
        </w:rPr>
        <w:t>(12): p. 2449-2463.</w:t>
      </w:r>
    </w:p>
    <w:p w14:paraId="6B45C28B" w14:textId="77777777" w:rsidR="0082468C" w:rsidRPr="00F5715E" w:rsidRDefault="0082468C" w:rsidP="0082468C">
      <w:pPr>
        <w:spacing w:after="0" w:line="276" w:lineRule="auto"/>
        <w:jc w:val="both"/>
        <w:rPr>
          <w:rFonts w:cstheme="minorHAnsi"/>
        </w:rPr>
      </w:pPr>
    </w:p>
    <w:p w14:paraId="1F40FAB6" w14:textId="77777777" w:rsidR="00EB6556" w:rsidRPr="006D2071" w:rsidRDefault="00EB6556" w:rsidP="00EB6556">
      <w:pPr>
        <w:jc w:val="both"/>
        <w:rPr>
          <w:rFonts w:cstheme="minorHAnsi"/>
          <w:sz w:val="24"/>
          <w:szCs w:val="24"/>
        </w:rPr>
      </w:pPr>
    </w:p>
    <w:p w14:paraId="07424C64" w14:textId="77777777" w:rsidR="00A005CE" w:rsidRPr="00C77E02" w:rsidRDefault="00A005CE" w:rsidP="00A005CE">
      <w:pPr>
        <w:pStyle w:val="Heading1"/>
      </w:pPr>
      <w:bookmarkStart w:id="149" w:name="_Toc128330054"/>
      <w:r w:rsidRPr="00C77E02">
        <w:lastRenderedPageBreak/>
        <w:t xml:space="preserve">10 </w:t>
      </w:r>
      <w:r w:rsidRPr="00C51D56">
        <w:rPr>
          <w:caps/>
        </w:rPr>
        <w:t>Patient involvement and options for Renal Replacement Therapy</w:t>
      </w:r>
      <w:bookmarkEnd w:id="149"/>
      <w:r w:rsidRPr="00C77E02">
        <w:t xml:space="preserve"> </w:t>
      </w:r>
    </w:p>
    <w:p w14:paraId="533A29D4" w14:textId="77777777" w:rsidR="00A005CE" w:rsidRDefault="00A005CE" w:rsidP="00A005CE">
      <w:pPr>
        <w:pStyle w:val="Heading1"/>
        <w:rPr>
          <w:rFonts w:eastAsia="Times New Roman"/>
          <w:bdr w:val="none" w:sz="0" w:space="0" w:color="auto" w:frame="1"/>
        </w:rPr>
      </w:pPr>
      <w:bookmarkStart w:id="150" w:name="_Toc128330055"/>
      <w:r>
        <w:rPr>
          <w:rFonts w:eastAsia="Times New Roman"/>
          <w:bdr w:val="none" w:sz="0" w:space="0" w:color="auto" w:frame="1"/>
        </w:rPr>
        <w:t>Statements of recommendation</w:t>
      </w:r>
      <w:bookmarkEnd w:id="150"/>
    </w:p>
    <w:p w14:paraId="79639D7A" w14:textId="77777777" w:rsidR="00A005CE" w:rsidRPr="00B5166F" w:rsidRDefault="00A005CE" w:rsidP="00CB0C37">
      <w:pPr>
        <w:spacing w:line="276" w:lineRule="auto"/>
      </w:pPr>
      <w:r w:rsidRPr="00B5166F">
        <w:t>We recommend that: </w:t>
      </w:r>
    </w:p>
    <w:p w14:paraId="7D9D4DFF" w14:textId="77777777" w:rsidR="00A005CE" w:rsidRPr="00E23BE5" w:rsidRDefault="00A005CE">
      <w:pPr>
        <w:numPr>
          <w:ilvl w:val="0"/>
          <w:numId w:val="38"/>
        </w:numPr>
        <w:shd w:val="clear" w:color="auto" w:fill="FFFFFF"/>
        <w:spacing w:line="276" w:lineRule="auto"/>
        <w:jc w:val="both"/>
        <w:rPr>
          <w:rFonts w:eastAsia="Times New Roman"/>
          <w:color w:val="000000"/>
        </w:rPr>
      </w:pPr>
      <w:r>
        <w:rPr>
          <w:rFonts w:eastAsia="Times New Roman"/>
          <w:color w:val="000000"/>
          <w:bdr w:val="none" w:sz="0" w:space="0" w:color="auto" w:frame="1"/>
        </w:rPr>
        <w:t xml:space="preserve">Patients with a </w:t>
      </w:r>
      <w:r w:rsidRPr="00E23BE5">
        <w:rPr>
          <w:rFonts w:eastAsia="Times New Roman"/>
          <w:color w:val="000000"/>
          <w:bdr w:val="none" w:sz="0" w:space="0" w:color="auto" w:frame="1"/>
        </w:rPr>
        <w:t>failing transplant should have the opportunity to discuss different modalities</w:t>
      </w:r>
      <w:r>
        <w:rPr>
          <w:rFonts w:eastAsia="Times New Roman"/>
          <w:color w:val="000000"/>
          <w:bdr w:val="none" w:sz="0" w:space="0" w:color="auto" w:frame="1"/>
        </w:rPr>
        <w:t xml:space="preserve"> of renal replacement therapy (RRT)</w:t>
      </w:r>
      <w:r w:rsidRPr="00E23BE5">
        <w:rPr>
          <w:rFonts w:eastAsia="Times New Roman"/>
          <w:color w:val="000000"/>
          <w:bdr w:val="none" w:sz="0" w:space="0" w:color="auto" w:frame="1"/>
        </w:rPr>
        <w:t xml:space="preserve"> including </w:t>
      </w:r>
      <w:r>
        <w:rPr>
          <w:rFonts w:eastAsia="Times New Roman"/>
          <w:color w:val="000000"/>
          <w:bdr w:val="none" w:sz="0" w:space="0" w:color="auto" w:frame="1"/>
        </w:rPr>
        <w:t>re-transplantation</w:t>
      </w:r>
      <w:r w:rsidRPr="00E23BE5">
        <w:rPr>
          <w:rFonts w:eastAsia="Times New Roman"/>
          <w:color w:val="000000"/>
          <w:bdr w:val="none" w:sz="0" w:space="0" w:color="auto" w:frame="1"/>
        </w:rPr>
        <w:t xml:space="preserve">, haemodialysis, peritoneal </w:t>
      </w:r>
      <w:proofErr w:type="gramStart"/>
      <w:r w:rsidRPr="00E23BE5">
        <w:rPr>
          <w:rFonts w:eastAsia="Times New Roman"/>
          <w:color w:val="000000"/>
          <w:bdr w:val="none" w:sz="0" w:space="0" w:color="auto" w:frame="1"/>
        </w:rPr>
        <w:t>dialysis</w:t>
      </w:r>
      <w:proofErr w:type="gramEnd"/>
      <w:r w:rsidRPr="00E23BE5">
        <w:rPr>
          <w:rFonts w:eastAsia="Times New Roman"/>
          <w:color w:val="000000"/>
          <w:bdr w:val="none" w:sz="0" w:space="0" w:color="auto" w:frame="1"/>
        </w:rPr>
        <w:t xml:space="preserve"> and conservative care. This discussion may involve members of their core support group</w:t>
      </w:r>
      <w:r>
        <w:rPr>
          <w:rFonts w:eastAsia="Times New Roman"/>
          <w:color w:val="000000"/>
          <w:bdr w:val="none" w:sz="0" w:space="0" w:color="auto" w:frame="1"/>
        </w:rPr>
        <w:t>.</w:t>
      </w:r>
      <w:r w:rsidRPr="00E23BE5">
        <w:rPr>
          <w:rFonts w:eastAsia="Times New Roman"/>
          <w:color w:val="000000"/>
          <w:bdr w:val="none" w:sz="0" w:space="0" w:color="auto" w:frame="1"/>
        </w:rPr>
        <w:t xml:space="preserve"> (1C) </w:t>
      </w:r>
    </w:p>
    <w:p w14:paraId="16C6396F" w14:textId="77777777" w:rsidR="00A005CE" w:rsidRPr="00A3660A" w:rsidRDefault="00A005CE">
      <w:pPr>
        <w:numPr>
          <w:ilvl w:val="0"/>
          <w:numId w:val="38"/>
        </w:numPr>
        <w:shd w:val="clear" w:color="auto" w:fill="FFFFFF"/>
        <w:spacing w:line="276" w:lineRule="auto"/>
        <w:jc w:val="both"/>
        <w:rPr>
          <w:rFonts w:eastAsia="Times New Roman"/>
          <w:color w:val="000000"/>
        </w:rPr>
      </w:pPr>
      <w:r w:rsidRPr="00E23BE5">
        <w:rPr>
          <w:rFonts w:eastAsia="Times New Roman"/>
          <w:color w:val="000000"/>
          <w:bdr w:val="none" w:sz="0" w:space="0" w:color="auto" w:frame="1"/>
        </w:rPr>
        <w:t xml:space="preserve">All patients should be considered for </w:t>
      </w:r>
      <w:r>
        <w:rPr>
          <w:rFonts w:eastAsia="Times New Roman"/>
          <w:color w:val="000000"/>
          <w:bdr w:val="none" w:sz="0" w:space="0" w:color="auto" w:frame="1"/>
        </w:rPr>
        <w:t>re-transplantation</w:t>
      </w:r>
      <w:r w:rsidRPr="00E23BE5">
        <w:rPr>
          <w:rFonts w:eastAsia="Times New Roman"/>
          <w:color w:val="000000"/>
          <w:bdr w:val="none" w:sz="0" w:space="0" w:color="auto" w:frame="1"/>
        </w:rPr>
        <w:t xml:space="preserve"> if there is no absolute contraindication when they have an eGFR &lt;20mls/min/1.73m</w:t>
      </w:r>
      <w:r w:rsidRPr="00E23BE5">
        <w:rPr>
          <w:rFonts w:eastAsia="Times New Roman"/>
          <w:color w:val="000000"/>
          <w:bdr w:val="none" w:sz="0" w:space="0" w:color="auto" w:frame="1"/>
          <w:vertAlign w:val="superscript"/>
        </w:rPr>
        <w:t>2</w:t>
      </w:r>
      <w:r w:rsidRPr="00E23BE5">
        <w:rPr>
          <w:rFonts w:eastAsia="Times New Roman"/>
          <w:color w:val="000000"/>
          <w:bdr w:val="none" w:sz="0" w:space="0" w:color="auto" w:frame="1"/>
        </w:rPr>
        <w:t xml:space="preserve"> or </w:t>
      </w:r>
      <w:r>
        <w:rPr>
          <w:rFonts w:eastAsia="Times New Roman"/>
          <w:color w:val="000000"/>
          <w:bdr w:val="none" w:sz="0" w:space="0" w:color="auto" w:frame="1"/>
        </w:rPr>
        <w:t xml:space="preserve">if </w:t>
      </w:r>
      <w:r w:rsidRPr="00E23BE5">
        <w:rPr>
          <w:rFonts w:eastAsia="Times New Roman"/>
          <w:color w:val="000000"/>
          <w:bdr w:val="none" w:sz="0" w:space="0" w:color="auto" w:frame="1"/>
        </w:rPr>
        <w:t>there is an expectation their graft will fail within the next 12 months</w:t>
      </w:r>
      <w:r>
        <w:rPr>
          <w:rFonts w:eastAsia="Times New Roman"/>
          <w:color w:val="000000"/>
          <w:bdr w:val="none" w:sz="0" w:space="0" w:color="auto" w:frame="1"/>
        </w:rPr>
        <w:t>.</w:t>
      </w:r>
      <w:r w:rsidRPr="00E23BE5">
        <w:rPr>
          <w:rFonts w:eastAsia="Times New Roman"/>
          <w:color w:val="000000"/>
          <w:bdr w:val="none" w:sz="0" w:space="0" w:color="auto" w:frame="1"/>
        </w:rPr>
        <w:t xml:space="preserve"> (1</w:t>
      </w:r>
      <w:r>
        <w:rPr>
          <w:rFonts w:eastAsia="Times New Roman"/>
          <w:color w:val="000000"/>
          <w:bdr w:val="none" w:sz="0" w:space="0" w:color="auto" w:frame="1"/>
        </w:rPr>
        <w:t>C</w:t>
      </w:r>
      <w:r w:rsidRPr="00E23BE5">
        <w:rPr>
          <w:rFonts w:eastAsia="Times New Roman"/>
          <w:color w:val="000000"/>
          <w:bdr w:val="none" w:sz="0" w:space="0" w:color="auto" w:frame="1"/>
        </w:rPr>
        <w:t>) </w:t>
      </w:r>
    </w:p>
    <w:p w14:paraId="4D960C4C" w14:textId="3DA0FFF8" w:rsidR="00A005CE" w:rsidRPr="00A3660A" w:rsidRDefault="00A005CE" w:rsidP="00346D2E">
      <w:pPr>
        <w:pStyle w:val="ListParagraph"/>
        <w:numPr>
          <w:ilvl w:val="0"/>
          <w:numId w:val="38"/>
        </w:numPr>
      </w:pPr>
      <w:r w:rsidRPr="00A3660A">
        <w:t>We recommend pre-emptive re-transplantation in suitable candidates as the best option</w:t>
      </w:r>
      <w:r w:rsidR="005C1915">
        <w:t>,</w:t>
      </w:r>
      <w:r w:rsidRPr="00A3660A">
        <w:t xml:space="preserve"> ideally occurring when their eGFR is 10-15 mL/min/1.73m</w:t>
      </w:r>
      <w:r w:rsidRPr="00A3660A">
        <w:rPr>
          <w:vertAlign w:val="superscript"/>
        </w:rPr>
        <w:t>2</w:t>
      </w:r>
      <w:r w:rsidRPr="00A3660A">
        <w:t xml:space="preserve">. </w:t>
      </w:r>
      <w:r>
        <w:t>(1C)</w:t>
      </w:r>
    </w:p>
    <w:p w14:paraId="1062A990" w14:textId="77777777" w:rsidR="00A005CE" w:rsidRPr="00B5166F" w:rsidRDefault="00A005CE" w:rsidP="00CB0C37">
      <w:pPr>
        <w:spacing w:line="276" w:lineRule="auto"/>
      </w:pPr>
      <w:r w:rsidRPr="00B5166F">
        <w:t>We suggest that:</w:t>
      </w:r>
    </w:p>
    <w:p w14:paraId="340FA6A5" w14:textId="08114A15" w:rsidR="00A005CE" w:rsidRPr="00B5166F" w:rsidRDefault="00A005CE">
      <w:pPr>
        <w:numPr>
          <w:ilvl w:val="0"/>
          <w:numId w:val="39"/>
        </w:numPr>
        <w:pBdr>
          <w:top w:val="nil"/>
          <w:left w:val="nil"/>
          <w:bottom w:val="nil"/>
          <w:right w:val="nil"/>
          <w:between w:val="nil"/>
        </w:pBdr>
        <w:spacing w:line="276" w:lineRule="auto"/>
        <w:jc w:val="both"/>
        <w:rPr>
          <w:color w:val="000000"/>
        </w:rPr>
      </w:pPr>
      <w:r w:rsidRPr="00C2008E">
        <w:rPr>
          <w:color w:val="000000"/>
        </w:rPr>
        <w:t xml:space="preserve">An initial directed discussion by the transplant consultant </w:t>
      </w:r>
      <w:r>
        <w:rPr>
          <w:color w:val="000000"/>
        </w:rPr>
        <w:t xml:space="preserve">to take place </w:t>
      </w:r>
      <w:r w:rsidRPr="00C2008E">
        <w:rPr>
          <w:color w:val="000000"/>
        </w:rPr>
        <w:t>with the patient and their core support group about their failing transplant</w:t>
      </w:r>
      <w:r>
        <w:rPr>
          <w:color w:val="000000"/>
        </w:rPr>
        <w:t>,</w:t>
      </w:r>
      <w:r w:rsidRPr="00C2008E">
        <w:rPr>
          <w:color w:val="000000"/>
        </w:rPr>
        <w:t xml:space="preserve"> </w:t>
      </w:r>
      <w:r>
        <w:rPr>
          <w:color w:val="000000"/>
        </w:rPr>
        <w:t xml:space="preserve">as this is </w:t>
      </w:r>
      <w:r w:rsidRPr="00C2008E">
        <w:rPr>
          <w:color w:val="000000"/>
        </w:rPr>
        <w:t>important in preparing them for future change</w:t>
      </w:r>
      <w:r w:rsidR="00CB0C37">
        <w:rPr>
          <w:color w:val="000000"/>
        </w:rPr>
        <w:t>.</w:t>
      </w:r>
      <w:r>
        <w:rPr>
          <w:color w:val="000000"/>
        </w:rPr>
        <w:t xml:space="preserve"> (ungraded)</w:t>
      </w:r>
    </w:p>
    <w:p w14:paraId="5778DDA9" w14:textId="1BBBEFC6" w:rsidR="00A005CE" w:rsidRDefault="00A005CE">
      <w:pPr>
        <w:numPr>
          <w:ilvl w:val="0"/>
          <w:numId w:val="39"/>
        </w:numPr>
        <w:pBdr>
          <w:top w:val="nil"/>
          <w:left w:val="nil"/>
          <w:bottom w:val="nil"/>
          <w:right w:val="nil"/>
          <w:between w:val="nil"/>
        </w:pBdr>
        <w:spacing w:line="276" w:lineRule="auto"/>
        <w:jc w:val="both"/>
        <w:rPr>
          <w:color w:val="000000"/>
        </w:rPr>
      </w:pPr>
      <w:r w:rsidRPr="00E23BE5">
        <w:rPr>
          <w:rFonts w:eastAsia="Times New Roman"/>
          <w:color w:val="000000"/>
          <w:bdr w:val="none" w:sz="0" w:space="0" w:color="auto" w:frame="1"/>
        </w:rPr>
        <w:t>Where sufficient numbers or resources exist</w:t>
      </w:r>
      <w:r>
        <w:rPr>
          <w:rFonts w:eastAsia="Times New Roman"/>
          <w:color w:val="000000"/>
          <w:bdr w:val="none" w:sz="0" w:space="0" w:color="auto" w:frame="1"/>
        </w:rPr>
        <w:t>,</w:t>
      </w:r>
      <w:r w:rsidRPr="00E23BE5">
        <w:rPr>
          <w:rFonts w:eastAsia="Times New Roman"/>
          <w:color w:val="000000"/>
          <w:bdr w:val="none" w:sz="0" w:space="0" w:color="auto" w:frame="1"/>
        </w:rPr>
        <w:t xml:space="preserve"> care for people with a failing transplant should occur in a dedicated </w:t>
      </w:r>
      <w:r>
        <w:rPr>
          <w:rFonts w:eastAsia="Times New Roman"/>
          <w:color w:val="000000"/>
          <w:bdr w:val="none" w:sz="0" w:space="0" w:color="auto" w:frame="1"/>
        </w:rPr>
        <w:t xml:space="preserve">failing transplant </w:t>
      </w:r>
      <w:r w:rsidRPr="00E23BE5">
        <w:rPr>
          <w:rFonts w:eastAsia="Times New Roman"/>
          <w:color w:val="000000"/>
          <w:bdr w:val="none" w:sz="0" w:space="0" w:color="auto" w:frame="1"/>
        </w:rPr>
        <w:t>clinic</w:t>
      </w:r>
      <w:r w:rsidR="00CB0C37">
        <w:rPr>
          <w:rFonts w:eastAsia="Times New Roman"/>
          <w:color w:val="000000"/>
          <w:bdr w:val="none" w:sz="0" w:space="0" w:color="auto" w:frame="1"/>
        </w:rPr>
        <w:t>.</w:t>
      </w:r>
      <w:r w:rsidRPr="00E23BE5">
        <w:rPr>
          <w:rFonts w:eastAsia="Times New Roman"/>
          <w:color w:val="000000"/>
          <w:bdr w:val="none" w:sz="0" w:space="0" w:color="auto" w:frame="1"/>
        </w:rPr>
        <w:t xml:space="preserve"> (</w:t>
      </w:r>
      <w:r>
        <w:rPr>
          <w:rFonts w:eastAsia="Times New Roman"/>
          <w:color w:val="000000"/>
          <w:bdr w:val="none" w:sz="0" w:space="0" w:color="auto" w:frame="1"/>
        </w:rPr>
        <w:t>ungraded</w:t>
      </w:r>
      <w:r w:rsidRPr="00E23BE5">
        <w:rPr>
          <w:rFonts w:eastAsia="Times New Roman"/>
          <w:color w:val="000000"/>
          <w:bdr w:val="none" w:sz="0" w:space="0" w:color="auto" w:frame="1"/>
        </w:rPr>
        <w:t>) </w:t>
      </w:r>
    </w:p>
    <w:p w14:paraId="52DC6E71" w14:textId="73388E9B" w:rsidR="00A005CE" w:rsidRDefault="00A005CE">
      <w:pPr>
        <w:numPr>
          <w:ilvl w:val="0"/>
          <w:numId w:val="39"/>
        </w:numPr>
        <w:pBdr>
          <w:top w:val="nil"/>
          <w:left w:val="nil"/>
          <w:bottom w:val="nil"/>
          <w:right w:val="nil"/>
          <w:between w:val="nil"/>
        </w:pBdr>
        <w:spacing w:line="276" w:lineRule="auto"/>
        <w:jc w:val="both"/>
        <w:rPr>
          <w:color w:val="000000"/>
        </w:rPr>
      </w:pPr>
      <w:r w:rsidRPr="00C2008E">
        <w:rPr>
          <w:color w:val="000000"/>
        </w:rPr>
        <w:t>Offer peer support/buddy or mentor services with expert patients</w:t>
      </w:r>
      <w:r>
        <w:rPr>
          <w:color w:val="000000"/>
        </w:rPr>
        <w:t xml:space="preserve"> which may support </w:t>
      </w:r>
      <w:r w:rsidR="006B18E7">
        <w:rPr>
          <w:color w:val="000000"/>
        </w:rPr>
        <w:t>decision-making</w:t>
      </w:r>
      <w:r w:rsidR="00CB0C37">
        <w:rPr>
          <w:color w:val="000000"/>
        </w:rPr>
        <w:t>.</w:t>
      </w:r>
      <w:r>
        <w:rPr>
          <w:color w:val="000000"/>
        </w:rPr>
        <w:t xml:space="preserve"> (ungraded)</w:t>
      </w:r>
    </w:p>
    <w:p w14:paraId="6D85BAEB" w14:textId="72EFD761" w:rsidR="00A005CE" w:rsidRDefault="00A005CE">
      <w:pPr>
        <w:numPr>
          <w:ilvl w:val="0"/>
          <w:numId w:val="39"/>
        </w:numPr>
        <w:pBdr>
          <w:top w:val="nil"/>
          <w:left w:val="nil"/>
          <w:bottom w:val="nil"/>
          <w:right w:val="nil"/>
          <w:between w:val="nil"/>
        </w:pBdr>
        <w:spacing w:line="276" w:lineRule="auto"/>
        <w:jc w:val="both"/>
        <w:rPr>
          <w:color w:val="000000"/>
        </w:rPr>
      </w:pPr>
      <w:r>
        <w:rPr>
          <w:color w:val="000000"/>
        </w:rPr>
        <w:t>T</w:t>
      </w:r>
      <w:r w:rsidRPr="00C2008E">
        <w:rPr>
          <w:color w:val="000000"/>
        </w:rPr>
        <w:t xml:space="preserve">he timing of dialysis initiation should be based on clinical factors and symptoms related to </w:t>
      </w:r>
      <w:r w:rsidR="006B18E7">
        <w:rPr>
          <w:color w:val="000000"/>
        </w:rPr>
        <w:t xml:space="preserve">chronic kidney </w:t>
      </w:r>
      <w:r w:rsidR="005D43DE">
        <w:rPr>
          <w:color w:val="000000"/>
        </w:rPr>
        <w:t>disease (</w:t>
      </w:r>
      <w:r w:rsidRPr="00C2008E">
        <w:rPr>
          <w:color w:val="000000"/>
        </w:rPr>
        <w:t>CKD</w:t>
      </w:r>
      <w:r>
        <w:rPr>
          <w:color w:val="000000"/>
        </w:rPr>
        <w:t xml:space="preserve">) </w:t>
      </w:r>
      <w:r w:rsidRPr="00C2008E">
        <w:rPr>
          <w:color w:val="000000"/>
        </w:rPr>
        <w:t>progression rather than eGFR</w:t>
      </w:r>
      <w:r w:rsidR="00CB0C37">
        <w:rPr>
          <w:color w:val="000000"/>
        </w:rPr>
        <w:t>.</w:t>
      </w:r>
      <w:r w:rsidRPr="00C2008E">
        <w:rPr>
          <w:color w:val="000000"/>
        </w:rPr>
        <w:t xml:space="preserve"> </w:t>
      </w:r>
      <w:r>
        <w:rPr>
          <w:color w:val="000000"/>
        </w:rPr>
        <w:t>(ungraded)</w:t>
      </w:r>
    </w:p>
    <w:p w14:paraId="3E60A95B" w14:textId="3B0BE02C" w:rsidR="00A005CE" w:rsidRDefault="00A005CE" w:rsidP="00CB0C37">
      <w:pPr>
        <w:spacing w:line="276" w:lineRule="auto"/>
        <w:rPr>
          <w:bdr w:val="none" w:sz="0" w:space="0" w:color="auto" w:frame="1"/>
        </w:rPr>
      </w:pPr>
      <w:r>
        <w:rPr>
          <w:bdr w:val="none" w:sz="0" w:space="0" w:color="auto" w:frame="1"/>
        </w:rPr>
        <w:t>Recommendations for research</w:t>
      </w:r>
      <w:r w:rsidR="00CB0C37">
        <w:rPr>
          <w:bdr w:val="none" w:sz="0" w:space="0" w:color="auto" w:frame="1"/>
        </w:rPr>
        <w:t>:</w:t>
      </w:r>
    </w:p>
    <w:p w14:paraId="1D4DD5C3" w14:textId="4686C161" w:rsidR="00A005CE" w:rsidRPr="00DA387C" w:rsidRDefault="00A005CE">
      <w:pPr>
        <w:numPr>
          <w:ilvl w:val="0"/>
          <w:numId w:val="38"/>
        </w:numPr>
        <w:shd w:val="clear" w:color="auto" w:fill="FFFFFF"/>
        <w:spacing w:line="276" w:lineRule="auto"/>
        <w:jc w:val="both"/>
        <w:rPr>
          <w:rFonts w:eastAsia="Times New Roman"/>
          <w:color w:val="000000"/>
        </w:rPr>
      </w:pPr>
      <w:r>
        <w:rPr>
          <w:rFonts w:eastAsia="Times New Roman"/>
          <w:color w:val="000000"/>
          <w:bdr w:val="none" w:sz="0" w:space="0" w:color="auto" w:frame="1"/>
        </w:rPr>
        <w:t xml:space="preserve">Development of tools to assist in the prediction of transplant failure timing based on patient factors, clinical </w:t>
      </w:r>
      <w:r w:rsidR="005C1915">
        <w:rPr>
          <w:rFonts w:eastAsia="Times New Roman"/>
          <w:color w:val="000000"/>
          <w:bdr w:val="none" w:sz="0" w:space="0" w:color="auto" w:frame="1"/>
        </w:rPr>
        <w:t>observations,</w:t>
      </w:r>
      <w:r>
        <w:rPr>
          <w:rFonts w:eastAsia="Times New Roman"/>
          <w:color w:val="000000"/>
          <w:bdr w:val="none" w:sz="0" w:space="0" w:color="auto" w:frame="1"/>
        </w:rPr>
        <w:t xml:space="preserve"> biomarkers etc.</w:t>
      </w:r>
    </w:p>
    <w:p w14:paraId="4E0E5B2D" w14:textId="77777777" w:rsidR="00A005CE" w:rsidRPr="00DA387C" w:rsidRDefault="00A005CE">
      <w:pPr>
        <w:numPr>
          <w:ilvl w:val="0"/>
          <w:numId w:val="38"/>
        </w:numPr>
        <w:shd w:val="clear" w:color="auto" w:fill="FFFFFF"/>
        <w:spacing w:line="276" w:lineRule="auto"/>
        <w:ind w:left="357"/>
        <w:jc w:val="both"/>
      </w:pPr>
      <w:r w:rsidRPr="00DA387C">
        <w:rPr>
          <w:rFonts w:eastAsia="Times New Roman"/>
          <w:color w:val="000000"/>
          <w:bdr w:val="none" w:sz="0" w:space="0" w:color="auto" w:frame="1"/>
        </w:rPr>
        <w:t xml:space="preserve">Comparative data on patient-level outcomes for those with failed allografts </w:t>
      </w:r>
      <w:r>
        <w:rPr>
          <w:rFonts w:eastAsia="Times New Roman"/>
          <w:color w:val="000000"/>
          <w:bdr w:val="none" w:sz="0" w:space="0" w:color="auto" w:frame="1"/>
        </w:rPr>
        <w:t xml:space="preserve">undergoing retransplantation, </w:t>
      </w:r>
      <w:r w:rsidRPr="00DA387C">
        <w:rPr>
          <w:rFonts w:eastAsia="Times New Roman"/>
          <w:color w:val="000000"/>
          <w:bdr w:val="none" w:sz="0" w:space="0" w:color="auto" w:frame="1"/>
        </w:rPr>
        <w:t xml:space="preserve">returning to dialysis </w:t>
      </w:r>
      <w:r>
        <w:rPr>
          <w:rFonts w:eastAsia="Times New Roman"/>
          <w:color w:val="000000"/>
          <w:bdr w:val="none" w:sz="0" w:space="0" w:color="auto" w:frame="1"/>
        </w:rPr>
        <w:t xml:space="preserve">and conservative management to inform shared decision-making. </w:t>
      </w:r>
    </w:p>
    <w:p w14:paraId="17CCB62D" w14:textId="77777777" w:rsidR="00A005CE" w:rsidRDefault="00A005CE">
      <w:pPr>
        <w:numPr>
          <w:ilvl w:val="0"/>
          <w:numId w:val="38"/>
        </w:numPr>
        <w:shd w:val="clear" w:color="auto" w:fill="FFFFFF"/>
        <w:spacing w:line="276" w:lineRule="auto"/>
        <w:ind w:left="351" w:hanging="357"/>
        <w:jc w:val="both"/>
      </w:pPr>
      <w:r>
        <w:t xml:space="preserve">Examination of the potential implications of dedicated failing transplant clinics on patient level outcomes. </w:t>
      </w:r>
    </w:p>
    <w:p w14:paraId="2375943F" w14:textId="77777777" w:rsidR="00A005CE" w:rsidRDefault="00A005CE" w:rsidP="005C1915">
      <w:pPr>
        <w:pStyle w:val="Heading2"/>
      </w:pPr>
      <w:bookmarkStart w:id="151" w:name="_Toc128330056"/>
      <w:r>
        <w:rPr>
          <w:rFonts w:eastAsia="Times New Roman"/>
          <w:bdr w:val="none" w:sz="0" w:space="0" w:color="auto" w:frame="1"/>
        </w:rPr>
        <w:t>Rationale</w:t>
      </w:r>
      <w:bookmarkEnd w:id="151"/>
      <w:r w:rsidRPr="00BF58EF">
        <w:t xml:space="preserve"> </w:t>
      </w:r>
    </w:p>
    <w:p w14:paraId="70C4FBB1" w14:textId="77777777" w:rsidR="00A005CE" w:rsidRDefault="00A005CE" w:rsidP="00A005CE">
      <w:pPr>
        <w:pStyle w:val="Heading3"/>
        <w:spacing w:before="0"/>
      </w:pPr>
      <w:bookmarkStart w:id="152" w:name="_Toc128330057"/>
      <w:r>
        <w:t>10.1 Introduction</w:t>
      </w:r>
      <w:bookmarkEnd w:id="152"/>
    </w:p>
    <w:p w14:paraId="4FF8A817" w14:textId="0AB865EC" w:rsidR="00A005CE" w:rsidRPr="00C2008E" w:rsidRDefault="00A005CE" w:rsidP="00CB0C37">
      <w:pPr>
        <w:pBdr>
          <w:top w:val="nil"/>
          <w:left w:val="nil"/>
          <w:bottom w:val="nil"/>
          <w:right w:val="nil"/>
          <w:between w:val="nil"/>
        </w:pBdr>
        <w:spacing w:line="276" w:lineRule="auto"/>
        <w:jc w:val="both"/>
        <w:rPr>
          <w:color w:val="000000"/>
        </w:rPr>
      </w:pPr>
      <w:r w:rsidRPr="00C2008E">
        <w:t>While there are some important transplant-specific issues, the management of end</w:t>
      </w:r>
      <w:r w:rsidR="006B18E7">
        <w:t xml:space="preserve"> </w:t>
      </w:r>
      <w:r w:rsidRPr="00C2008E">
        <w:t xml:space="preserve">stage </w:t>
      </w:r>
      <w:r>
        <w:t xml:space="preserve">kidney </w:t>
      </w:r>
      <w:r w:rsidR="006B18E7">
        <w:t xml:space="preserve">disease </w:t>
      </w:r>
      <w:r>
        <w:t>(ESKD)</w:t>
      </w:r>
      <w:r w:rsidRPr="00C2008E">
        <w:t xml:space="preserve"> in the context of </w:t>
      </w:r>
      <w:r>
        <w:t>a</w:t>
      </w:r>
      <w:r w:rsidRPr="00C2008E">
        <w:t xml:space="preserve"> failing </w:t>
      </w:r>
      <w:r>
        <w:t>transplant</w:t>
      </w:r>
      <w:r w:rsidRPr="00C2008E">
        <w:t xml:space="preserve"> </w:t>
      </w:r>
      <w:r>
        <w:t>is</w:t>
      </w:r>
      <w:r w:rsidRPr="00C2008E">
        <w:t xml:space="preserve"> largely the same as for patients with </w:t>
      </w:r>
      <w:r>
        <w:t xml:space="preserve">CKD. Please see the </w:t>
      </w:r>
      <w:r w:rsidRPr="00C2008E">
        <w:t>UK</w:t>
      </w:r>
      <w:r>
        <w:t>KA</w:t>
      </w:r>
      <w:r w:rsidRPr="00C2008E">
        <w:t xml:space="preserve"> </w:t>
      </w:r>
      <w:r>
        <w:t>G</w:t>
      </w:r>
      <w:r w:rsidRPr="00C2008E">
        <w:t>uideline ‘Planning, Initiating and Withdrawal of Renal Replacement Therapy’</w:t>
      </w:r>
      <w:r w:rsidR="005C1915">
        <w:t>.</w:t>
      </w:r>
      <w:r w:rsidRPr="00307E58">
        <w:rPr>
          <w:noProof/>
          <w:vertAlign w:val="superscript"/>
        </w:rPr>
        <w:t>1</w:t>
      </w:r>
      <w:r>
        <w:t xml:space="preserve"> Decision-making is also </w:t>
      </w:r>
      <w:proofErr w:type="gramStart"/>
      <w:r>
        <w:t>similar to</w:t>
      </w:r>
      <w:proofErr w:type="gramEnd"/>
      <w:r>
        <w:t xml:space="preserve"> patients with CKD. </w:t>
      </w:r>
      <w:r w:rsidRPr="00C2008E">
        <w:rPr>
          <w:color w:val="000000"/>
        </w:rPr>
        <w:t xml:space="preserve">People with failing transplants may be unfamiliar </w:t>
      </w:r>
      <w:r w:rsidRPr="00C2008E">
        <w:rPr>
          <w:color w:val="000000"/>
        </w:rPr>
        <w:lastRenderedPageBreak/>
        <w:t xml:space="preserve">with current dialysis practices and </w:t>
      </w:r>
      <w:r>
        <w:rPr>
          <w:color w:val="000000"/>
        </w:rPr>
        <w:t xml:space="preserve">may </w:t>
      </w:r>
      <w:r w:rsidRPr="00C2008E">
        <w:rPr>
          <w:color w:val="000000"/>
        </w:rPr>
        <w:t xml:space="preserve">need </w:t>
      </w:r>
      <w:r>
        <w:rPr>
          <w:color w:val="000000"/>
        </w:rPr>
        <w:t>updating</w:t>
      </w:r>
      <w:r w:rsidRPr="00C2008E">
        <w:rPr>
          <w:color w:val="000000"/>
        </w:rPr>
        <w:t xml:space="preserve"> regarding current treatment modalities</w:t>
      </w:r>
      <w:r w:rsidRPr="00307E58">
        <w:rPr>
          <w:noProof/>
          <w:color w:val="000000"/>
          <w:vertAlign w:val="superscript"/>
        </w:rPr>
        <w:t>2</w:t>
      </w:r>
      <w:r w:rsidRPr="00C2008E">
        <w:rPr>
          <w:color w:val="000000"/>
        </w:rPr>
        <w:t xml:space="preserve">. This is often neglected or delayed </w:t>
      </w:r>
      <w:r>
        <w:rPr>
          <w:color w:val="000000"/>
        </w:rPr>
        <w:t>when compared to the general</w:t>
      </w:r>
      <w:r w:rsidRPr="00C2008E">
        <w:rPr>
          <w:color w:val="000000"/>
        </w:rPr>
        <w:t xml:space="preserve"> CKD population</w:t>
      </w:r>
      <w:r w:rsidRPr="00307E58">
        <w:rPr>
          <w:noProof/>
          <w:color w:val="000000"/>
          <w:vertAlign w:val="superscript"/>
        </w:rPr>
        <w:t>3</w:t>
      </w:r>
      <w:r w:rsidRPr="00C2008E">
        <w:rPr>
          <w:color w:val="000000"/>
        </w:rPr>
        <w:t>.</w:t>
      </w:r>
      <w:r w:rsidRPr="00F7412E">
        <w:rPr>
          <w:color w:val="000000"/>
        </w:rPr>
        <w:t xml:space="preserve"> </w:t>
      </w:r>
      <w:r>
        <w:rPr>
          <w:color w:val="000000"/>
        </w:rPr>
        <w:t>Several means of sharing and discussing information can be considered, depending on local availability:</w:t>
      </w:r>
    </w:p>
    <w:p w14:paraId="11555EB0" w14:textId="77777777" w:rsidR="00A005CE" w:rsidRPr="00C2008E" w:rsidRDefault="00A005CE">
      <w:pPr>
        <w:numPr>
          <w:ilvl w:val="0"/>
          <w:numId w:val="36"/>
        </w:numPr>
        <w:pBdr>
          <w:top w:val="nil"/>
          <w:left w:val="nil"/>
          <w:bottom w:val="nil"/>
          <w:right w:val="nil"/>
          <w:between w:val="nil"/>
        </w:pBdr>
        <w:spacing w:line="276" w:lineRule="auto"/>
        <w:ind w:hanging="357"/>
        <w:jc w:val="both"/>
        <w:rPr>
          <w:color w:val="000000"/>
        </w:rPr>
      </w:pPr>
      <w:r w:rsidRPr="00C2008E">
        <w:rPr>
          <w:color w:val="000000"/>
        </w:rPr>
        <w:t>Shared decision-making information regarding dialysis treatment by a specialist renal nurse – individually and in a group setting</w:t>
      </w:r>
      <w:r>
        <w:rPr>
          <w:color w:val="000000"/>
        </w:rPr>
        <w:t>.</w:t>
      </w:r>
    </w:p>
    <w:p w14:paraId="131E41BC" w14:textId="77777777" w:rsidR="00A005CE" w:rsidRPr="00C2008E" w:rsidRDefault="00A005CE">
      <w:pPr>
        <w:numPr>
          <w:ilvl w:val="0"/>
          <w:numId w:val="36"/>
        </w:numPr>
        <w:pBdr>
          <w:top w:val="nil"/>
          <w:left w:val="nil"/>
          <w:bottom w:val="nil"/>
          <w:right w:val="nil"/>
          <w:between w:val="nil"/>
        </w:pBdr>
        <w:spacing w:line="276" w:lineRule="auto"/>
        <w:ind w:hanging="357"/>
        <w:jc w:val="both"/>
        <w:rPr>
          <w:color w:val="000000"/>
        </w:rPr>
      </w:pPr>
      <w:r w:rsidRPr="00C2008E">
        <w:rPr>
          <w:color w:val="000000"/>
        </w:rPr>
        <w:t xml:space="preserve">Use of decision aids </w:t>
      </w:r>
      <w:r>
        <w:rPr>
          <w:color w:val="000000"/>
        </w:rPr>
        <w:t xml:space="preserve">to </w:t>
      </w:r>
      <w:r w:rsidRPr="00C2008E">
        <w:rPr>
          <w:color w:val="000000"/>
        </w:rPr>
        <w:t>improve knowledge and patient participation</w:t>
      </w:r>
      <w:r w:rsidRPr="00901757">
        <w:rPr>
          <w:noProof/>
          <w:color w:val="000000"/>
          <w:vertAlign w:val="superscript"/>
        </w:rPr>
        <w:t>4, 5</w:t>
      </w:r>
      <w:r w:rsidRPr="00C2008E">
        <w:rPr>
          <w:color w:val="000000"/>
        </w:rPr>
        <w:t>.</w:t>
      </w:r>
    </w:p>
    <w:p w14:paraId="0ACC7AD4" w14:textId="77777777" w:rsidR="00A005CE" w:rsidRPr="00C2008E" w:rsidRDefault="00A005CE">
      <w:pPr>
        <w:numPr>
          <w:ilvl w:val="0"/>
          <w:numId w:val="36"/>
        </w:numPr>
        <w:pBdr>
          <w:top w:val="nil"/>
          <w:left w:val="nil"/>
          <w:bottom w:val="nil"/>
          <w:right w:val="nil"/>
          <w:between w:val="nil"/>
        </w:pBdr>
        <w:spacing w:line="276" w:lineRule="auto"/>
        <w:ind w:hanging="357"/>
        <w:jc w:val="both"/>
        <w:rPr>
          <w:color w:val="000000"/>
        </w:rPr>
      </w:pPr>
      <w:r w:rsidRPr="00C2008E">
        <w:rPr>
          <w:color w:val="000000"/>
        </w:rPr>
        <w:t>Providing written and vi</w:t>
      </w:r>
      <w:r>
        <w:rPr>
          <w:color w:val="000000"/>
        </w:rPr>
        <w:t>sual</w:t>
      </w:r>
      <w:r w:rsidRPr="00C2008E">
        <w:rPr>
          <w:color w:val="000000"/>
        </w:rPr>
        <w:t xml:space="preserve"> information for reference at home and to share with their core support group.</w:t>
      </w:r>
    </w:p>
    <w:p w14:paraId="6190CCF6" w14:textId="76268EDC" w:rsidR="00A005CE" w:rsidRPr="00B5166F" w:rsidRDefault="00A005CE" w:rsidP="00CB0C37">
      <w:pPr>
        <w:spacing w:line="276" w:lineRule="auto"/>
        <w:jc w:val="both"/>
        <w:rPr>
          <w:bCs/>
          <w:iCs/>
        </w:rPr>
      </w:pPr>
      <w:r>
        <w:rPr>
          <w:bCs/>
          <w:iCs/>
        </w:rPr>
        <w:t>Patient information leaflets are available from the kidney patient support charity</w:t>
      </w:r>
      <w:r w:rsidR="005D43DE">
        <w:rPr>
          <w:bCs/>
          <w:iCs/>
        </w:rPr>
        <w:t>,</w:t>
      </w:r>
      <w:r>
        <w:rPr>
          <w:bCs/>
          <w:iCs/>
        </w:rPr>
        <w:t xml:space="preserve"> Kidney Care UK on a wide range of topics relating to </w:t>
      </w:r>
      <w:r w:rsidR="005C1915">
        <w:rPr>
          <w:bCs/>
          <w:iCs/>
        </w:rPr>
        <w:t>CKD</w:t>
      </w:r>
      <w:r>
        <w:rPr>
          <w:bCs/>
          <w:iCs/>
        </w:rPr>
        <w:t xml:space="preserve">, renal replacement therapy, dialysis access and conservative management. </w:t>
      </w:r>
    </w:p>
    <w:p w14:paraId="0B13F12E" w14:textId="05155A81" w:rsidR="00A005CE" w:rsidRDefault="00A005CE" w:rsidP="00CB0C37">
      <w:pPr>
        <w:pBdr>
          <w:top w:val="nil"/>
          <w:left w:val="nil"/>
          <w:bottom w:val="nil"/>
          <w:right w:val="nil"/>
          <w:between w:val="nil"/>
        </w:pBdr>
        <w:spacing w:line="276" w:lineRule="auto"/>
        <w:jc w:val="both"/>
        <w:rPr>
          <w:color w:val="000000"/>
        </w:rPr>
      </w:pPr>
      <w:r w:rsidRPr="00DD7D85">
        <w:rPr>
          <w:color w:val="000000"/>
        </w:rPr>
        <w:t xml:space="preserve">The time course of </w:t>
      </w:r>
      <w:r w:rsidR="005D43DE">
        <w:rPr>
          <w:color w:val="000000"/>
        </w:rPr>
        <w:t>kidney</w:t>
      </w:r>
      <w:r w:rsidRPr="00DD7D85">
        <w:rPr>
          <w:color w:val="000000"/>
        </w:rPr>
        <w:t xml:space="preserve"> transplant function decline is often less predictable compared to </w:t>
      </w:r>
      <w:r w:rsidR="005C1915">
        <w:rPr>
          <w:color w:val="000000"/>
        </w:rPr>
        <w:t xml:space="preserve">the decline of native </w:t>
      </w:r>
      <w:r w:rsidR="005D43DE">
        <w:rPr>
          <w:color w:val="000000"/>
        </w:rPr>
        <w:t>kidney</w:t>
      </w:r>
      <w:r w:rsidR="009E0472">
        <w:rPr>
          <w:color w:val="000000"/>
        </w:rPr>
        <w:t xml:space="preserve"> function</w:t>
      </w:r>
      <w:r w:rsidRPr="00DD7D85">
        <w:rPr>
          <w:color w:val="000000"/>
        </w:rPr>
        <w:t>, emphasising the importance of early decision-making</w:t>
      </w:r>
      <w:r w:rsidRPr="006B4DD2">
        <w:rPr>
          <w:noProof/>
          <w:color w:val="000000"/>
          <w:vertAlign w:val="superscript"/>
        </w:rPr>
        <w:t>6</w:t>
      </w:r>
      <w:r w:rsidRPr="00DD7D85">
        <w:rPr>
          <w:color w:val="000000"/>
        </w:rPr>
        <w:t xml:space="preserve">. </w:t>
      </w:r>
      <w:r w:rsidRPr="00C2008E">
        <w:t xml:space="preserve">We </w:t>
      </w:r>
      <w:r>
        <w:t>suggest</w:t>
      </w:r>
      <w:r w:rsidRPr="00C2008E">
        <w:t xml:space="preserve"> referral to a dedicated failing transplant clinic or return to</w:t>
      </w:r>
      <w:r>
        <w:t xml:space="preserve"> a</w:t>
      </w:r>
      <w:r w:rsidRPr="00C2008E">
        <w:t xml:space="preserve"> local advanced kidney care clinic</w:t>
      </w:r>
      <w:r>
        <w:t xml:space="preserve"> to facilitate contact with all members of the MDT and ensure a smooth transition to the next modality of RRT</w:t>
      </w:r>
      <w:r w:rsidRPr="00C2008E">
        <w:t xml:space="preserve">. The location will depend on </w:t>
      </w:r>
      <w:r>
        <w:t xml:space="preserve">the </w:t>
      </w:r>
      <w:r w:rsidRPr="00C2008E">
        <w:t xml:space="preserve">local resources, staff availability and patient choice. </w:t>
      </w:r>
      <w:r w:rsidRPr="00DD7D85">
        <w:rPr>
          <w:color w:val="000000"/>
        </w:rPr>
        <w:t xml:space="preserve">If this involves returning to a local centre for dialysis or conservative management, we recommend transferring care at least </w:t>
      </w:r>
      <w:r w:rsidR="009E0472">
        <w:rPr>
          <w:color w:val="000000"/>
        </w:rPr>
        <w:t>6 - 12</w:t>
      </w:r>
      <w:r w:rsidRPr="00DD7D85">
        <w:rPr>
          <w:color w:val="000000"/>
        </w:rPr>
        <w:t xml:space="preserve"> months before allograft failure </w:t>
      </w:r>
      <w:r w:rsidR="009E0472">
        <w:rPr>
          <w:color w:val="000000"/>
        </w:rPr>
        <w:t xml:space="preserve">is anticipated </w:t>
      </w:r>
      <w:r w:rsidRPr="00DD7D85">
        <w:rPr>
          <w:color w:val="000000"/>
        </w:rPr>
        <w:t xml:space="preserve">to ensure sufficient time for preparation. </w:t>
      </w:r>
    </w:p>
    <w:p w14:paraId="17183633" w14:textId="77777777" w:rsidR="00A005CE" w:rsidRPr="00C2008E" w:rsidRDefault="00A005CE" w:rsidP="00CB0C37">
      <w:pPr>
        <w:spacing w:line="276" w:lineRule="auto"/>
        <w:jc w:val="both"/>
      </w:pPr>
      <w:r w:rsidRPr="00C2008E">
        <w:t xml:space="preserve">The </w:t>
      </w:r>
      <w:r>
        <w:t>‘</w:t>
      </w:r>
      <w:r w:rsidRPr="00C2008E">
        <w:t>Transplant Second’ mindset is essential to identify candidates in a timely fashion and to ensure appropriate pre-emptive re</w:t>
      </w:r>
      <w:r>
        <w:t>-</w:t>
      </w:r>
      <w:r w:rsidRPr="00C2008E">
        <w:t xml:space="preserve">listing. </w:t>
      </w:r>
      <w:r>
        <w:t xml:space="preserve">This has important benefits for the patient, their core support group and society. </w:t>
      </w:r>
    </w:p>
    <w:p w14:paraId="16E3F6C1" w14:textId="77777777" w:rsidR="00A005CE" w:rsidRPr="00DC4E5D" w:rsidRDefault="00A005CE" w:rsidP="00A005CE">
      <w:pPr>
        <w:pStyle w:val="Heading3"/>
      </w:pPr>
      <w:bookmarkStart w:id="153" w:name="_Toc128330058"/>
      <w:r>
        <w:t>10.2</w:t>
      </w:r>
      <w:r w:rsidRPr="00DC4E5D">
        <w:tab/>
        <w:t>Patient involvement</w:t>
      </w:r>
      <w:bookmarkEnd w:id="153"/>
    </w:p>
    <w:p w14:paraId="427E14BE" w14:textId="77E345FE" w:rsidR="00A005CE" w:rsidRPr="006A7B6B" w:rsidRDefault="00A005CE" w:rsidP="00CB0C37">
      <w:pPr>
        <w:spacing w:line="276" w:lineRule="auto"/>
        <w:jc w:val="both"/>
        <w:rPr>
          <w:iCs/>
        </w:rPr>
      </w:pPr>
      <w:r>
        <w:t>At all stages, shared decision making between the patient, their core support group and renal MDT should be encouraged</w:t>
      </w:r>
      <w:r w:rsidRPr="006B4DD2">
        <w:rPr>
          <w:noProof/>
          <w:vertAlign w:val="superscript"/>
        </w:rPr>
        <w:t>7</w:t>
      </w:r>
      <w:r>
        <w:t>. This approach can promote patient motivation and preparedness which is important at the time of potential psychological upheaval when transitioning from protecting remaining renal function to future planning</w:t>
      </w:r>
      <w:r w:rsidRPr="006B4DD2">
        <w:rPr>
          <w:noProof/>
          <w:vertAlign w:val="superscript"/>
        </w:rPr>
        <w:t>8, 9</w:t>
      </w:r>
      <w:r>
        <w:t>. Patients</w:t>
      </w:r>
      <w:r w:rsidRPr="00C2008E">
        <w:t xml:space="preserve"> may be adversely affected by their emotions and this can pose a barrier to timely planning</w:t>
      </w:r>
      <w:r w:rsidRPr="006B4DD2">
        <w:rPr>
          <w:noProof/>
          <w:vertAlign w:val="superscript"/>
        </w:rPr>
        <w:t>2, 10</w:t>
      </w:r>
      <w:r w:rsidRPr="00C2008E">
        <w:t xml:space="preserve"> </w:t>
      </w:r>
      <w:r>
        <w:t>(</w:t>
      </w:r>
      <w:r>
        <w:rPr>
          <w:i/>
        </w:rPr>
        <w:t>s</w:t>
      </w:r>
      <w:r w:rsidRPr="00C2008E">
        <w:rPr>
          <w:i/>
        </w:rPr>
        <w:t xml:space="preserve">ee </w:t>
      </w:r>
      <w:r w:rsidR="009E0472">
        <w:rPr>
          <w:i/>
        </w:rPr>
        <w:t>Section</w:t>
      </w:r>
      <w:r>
        <w:rPr>
          <w:i/>
        </w:rPr>
        <w:t xml:space="preserve"> 4 </w:t>
      </w:r>
      <w:r w:rsidRPr="00C2008E">
        <w:rPr>
          <w:i/>
        </w:rPr>
        <w:t xml:space="preserve">Psychosocial </w:t>
      </w:r>
      <w:r>
        <w:rPr>
          <w:i/>
        </w:rPr>
        <w:t xml:space="preserve">Issues). </w:t>
      </w:r>
    </w:p>
    <w:p w14:paraId="79EE9390" w14:textId="77777777" w:rsidR="00A005CE" w:rsidRPr="00DC4E5D" w:rsidRDefault="00A005CE" w:rsidP="00A005CE">
      <w:pPr>
        <w:pStyle w:val="Heading3"/>
      </w:pPr>
      <w:bookmarkStart w:id="154" w:name="_Toc128330059"/>
      <w:r>
        <w:t>10.3</w:t>
      </w:r>
      <w:r w:rsidRPr="00DC4E5D">
        <w:tab/>
        <w:t xml:space="preserve">Physical, </w:t>
      </w:r>
      <w:proofErr w:type="gramStart"/>
      <w:r w:rsidRPr="00DC4E5D">
        <w:t>social</w:t>
      </w:r>
      <w:proofErr w:type="gramEnd"/>
      <w:r w:rsidRPr="00DC4E5D">
        <w:t xml:space="preserve"> and mental wellbeing</w:t>
      </w:r>
      <w:bookmarkEnd w:id="154"/>
    </w:p>
    <w:p w14:paraId="509FF3A6" w14:textId="768CBC0B" w:rsidR="00A005CE" w:rsidRPr="00C2008E" w:rsidRDefault="00A005CE" w:rsidP="00A005CE">
      <w:pPr>
        <w:pStyle w:val="Heading4"/>
      </w:pPr>
      <w:bookmarkStart w:id="155" w:name="_Toc128330060"/>
      <w:r>
        <w:t>10.3</w:t>
      </w:r>
      <w:r w:rsidRPr="00C2008E">
        <w:t xml:space="preserve">.1 </w:t>
      </w:r>
      <w:r w:rsidRPr="00C2008E">
        <w:tab/>
      </w:r>
      <w:r w:rsidR="00A85D14">
        <w:tab/>
      </w:r>
      <w:r w:rsidRPr="00C2008E">
        <w:t>General Principles</w:t>
      </w:r>
      <w:bookmarkEnd w:id="155"/>
    </w:p>
    <w:p w14:paraId="2352F65B" w14:textId="77777777" w:rsidR="00A005CE" w:rsidRPr="00C2008E" w:rsidRDefault="00A005CE" w:rsidP="00CB0C37">
      <w:pPr>
        <w:spacing w:line="276" w:lineRule="auto"/>
        <w:jc w:val="both"/>
      </w:pPr>
      <w:r w:rsidRPr="00C2008E">
        <w:t xml:space="preserve">The individual should be as </w:t>
      </w:r>
      <w:r>
        <w:t xml:space="preserve">mentally </w:t>
      </w:r>
      <w:r w:rsidRPr="00C2008E">
        <w:t xml:space="preserve">and </w:t>
      </w:r>
      <w:r>
        <w:t>physically</w:t>
      </w:r>
      <w:r w:rsidRPr="00C2008E">
        <w:t xml:space="preserve"> able to commit to the transition process from transplantation to re-transplantation, </w:t>
      </w:r>
      <w:proofErr w:type="gramStart"/>
      <w:r w:rsidRPr="00C2008E">
        <w:t>dialysis</w:t>
      </w:r>
      <w:proofErr w:type="gramEnd"/>
      <w:r w:rsidRPr="00C2008E">
        <w:t xml:space="preserve"> or conservative management</w:t>
      </w:r>
      <w:r>
        <w:t xml:space="preserve">/ </w:t>
      </w:r>
      <w:r w:rsidRPr="00C2008E">
        <w:t>palliative care with the minimum social impact to the individual and their core support group.</w:t>
      </w:r>
    </w:p>
    <w:p w14:paraId="40C1CCBD" w14:textId="77777777" w:rsidR="00A005CE" w:rsidRPr="00C2008E" w:rsidRDefault="00A005CE" w:rsidP="00A005CE">
      <w:pPr>
        <w:pStyle w:val="Heading5"/>
      </w:pPr>
      <w:bookmarkStart w:id="156" w:name="_Toc128330061"/>
      <w:r>
        <w:t>10.3</w:t>
      </w:r>
      <w:r w:rsidRPr="00C2008E">
        <w:t>.1.1</w:t>
      </w:r>
      <w:r w:rsidRPr="00C2008E">
        <w:tab/>
      </w:r>
      <w:r>
        <w:tab/>
      </w:r>
      <w:r w:rsidRPr="00C2008E">
        <w:t>Mental, Emotional &amp; Social Wellbeing</w:t>
      </w:r>
      <w:bookmarkEnd w:id="156"/>
    </w:p>
    <w:p w14:paraId="65D833AB" w14:textId="1D05DA15" w:rsidR="00A005CE" w:rsidRPr="00C2008E" w:rsidRDefault="00A005CE" w:rsidP="00CB0C37">
      <w:pPr>
        <w:spacing w:line="276" w:lineRule="auto"/>
        <w:ind w:firstLine="41"/>
        <w:jc w:val="both"/>
      </w:pPr>
      <w:bookmarkStart w:id="157" w:name="_1fob9te" w:colFirst="0" w:colLast="0"/>
      <w:bookmarkEnd w:id="157"/>
      <w:r>
        <w:t xml:space="preserve">We suggest patients have a psychosocial needs assessment when first identified to have a failing transplant and at the time of transition to an alternative RRT. This should be followed-up with </w:t>
      </w:r>
      <w:r w:rsidR="005D43DE">
        <w:t xml:space="preserve">a </w:t>
      </w:r>
      <w:r>
        <w:t xml:space="preserve">referral to appropriate services where required. </w:t>
      </w:r>
      <w:r w:rsidRPr="00C2008E">
        <w:t xml:space="preserve">Under-detection of emotional distress if not addressed can adversely affect medical management and </w:t>
      </w:r>
      <w:r>
        <w:t xml:space="preserve">lead to greater </w:t>
      </w:r>
      <w:r w:rsidRPr="00C2008E">
        <w:t>illness progression</w:t>
      </w:r>
      <w:r w:rsidRPr="006B4DD2">
        <w:rPr>
          <w:noProof/>
          <w:vertAlign w:val="superscript"/>
        </w:rPr>
        <w:t>11</w:t>
      </w:r>
      <w:r w:rsidRPr="00C2008E">
        <w:t xml:space="preserve">.  </w:t>
      </w:r>
    </w:p>
    <w:p w14:paraId="32430C20" w14:textId="51F505E8" w:rsidR="00A005CE" w:rsidRPr="00C2008E" w:rsidRDefault="00A005CE" w:rsidP="00CB0C37">
      <w:pPr>
        <w:spacing w:line="276" w:lineRule="auto"/>
        <w:jc w:val="both"/>
      </w:pPr>
      <w:r w:rsidRPr="00C2008E">
        <w:t xml:space="preserve">Referral to Renal Psychosocial Practitioners </w:t>
      </w:r>
      <w:r>
        <w:t>can be made based on Patient Health Questionnaire (PHQ4)</w:t>
      </w:r>
      <w:r w:rsidRPr="006B4DD2">
        <w:rPr>
          <w:noProof/>
          <w:vertAlign w:val="superscript"/>
        </w:rPr>
        <w:t xml:space="preserve"> 12</w:t>
      </w:r>
      <w:r>
        <w:rPr>
          <w:noProof/>
        </w:rPr>
        <w:t>, Distress Thermometer (DT)</w:t>
      </w:r>
      <w:r w:rsidRPr="006B4DD2">
        <w:rPr>
          <w:noProof/>
          <w:vertAlign w:val="superscript"/>
        </w:rPr>
        <w:t xml:space="preserve"> 13</w:t>
      </w:r>
      <w:r>
        <w:rPr>
          <w:noProof/>
        </w:rPr>
        <w:t>, Work and Social Adjustment Scale (WSAS)</w:t>
      </w:r>
      <w:r w:rsidRPr="006B4DD2">
        <w:rPr>
          <w:noProof/>
          <w:vertAlign w:val="superscript"/>
        </w:rPr>
        <w:t xml:space="preserve"> 14</w:t>
      </w:r>
      <w:r w:rsidDel="00470929">
        <w:rPr>
          <w:noProof/>
        </w:rPr>
        <w:t xml:space="preserve"> </w:t>
      </w:r>
      <w:r>
        <w:rPr>
          <w:noProof/>
        </w:rPr>
        <w:t xml:space="preserve"> or Medication Adherence Report Scale 5 (MARS 5)</w:t>
      </w:r>
      <w:r w:rsidRPr="006B4DD2">
        <w:rPr>
          <w:noProof/>
          <w:vertAlign w:val="superscript"/>
        </w:rPr>
        <w:t xml:space="preserve"> 15</w:t>
      </w:r>
      <w:r>
        <w:rPr>
          <w:noProof/>
        </w:rPr>
        <w:t xml:space="preserve"> </w:t>
      </w:r>
      <w:r>
        <w:rPr>
          <w:i/>
        </w:rPr>
        <w:t>(s</w:t>
      </w:r>
      <w:r w:rsidRPr="003F47AE">
        <w:rPr>
          <w:i/>
        </w:rPr>
        <w:t>ee</w:t>
      </w:r>
      <w:r>
        <w:rPr>
          <w:i/>
        </w:rPr>
        <w:t xml:space="preserve"> </w:t>
      </w:r>
      <w:r w:rsidR="009E0472">
        <w:rPr>
          <w:i/>
        </w:rPr>
        <w:t>also Section</w:t>
      </w:r>
      <w:r>
        <w:rPr>
          <w:i/>
        </w:rPr>
        <w:t xml:space="preserve"> 4,</w:t>
      </w:r>
      <w:r w:rsidRPr="003F47AE">
        <w:rPr>
          <w:i/>
        </w:rPr>
        <w:t xml:space="preserve"> Psychosocial </w:t>
      </w:r>
      <w:r>
        <w:rPr>
          <w:i/>
        </w:rPr>
        <w:t>Issues).</w:t>
      </w:r>
    </w:p>
    <w:p w14:paraId="5134FBC5" w14:textId="77777777" w:rsidR="00A005CE" w:rsidRPr="00C2008E" w:rsidRDefault="00A005CE" w:rsidP="00A005CE">
      <w:pPr>
        <w:pStyle w:val="Heading5"/>
        <w:spacing w:before="0" w:line="240" w:lineRule="auto"/>
      </w:pPr>
      <w:bookmarkStart w:id="158" w:name="_3znysh7" w:colFirst="0" w:colLast="0"/>
      <w:bookmarkStart w:id="159" w:name="_Toc128330062"/>
      <w:bookmarkEnd w:id="158"/>
      <w:r>
        <w:lastRenderedPageBreak/>
        <w:t>10.3</w:t>
      </w:r>
      <w:r w:rsidRPr="00C2008E">
        <w:t>.1.2</w:t>
      </w:r>
      <w:r w:rsidRPr="00C2008E">
        <w:tab/>
      </w:r>
      <w:r>
        <w:tab/>
      </w:r>
      <w:r w:rsidRPr="00C2008E">
        <w:t>Physical Wellbeing</w:t>
      </w:r>
      <w:bookmarkEnd w:id="159"/>
    </w:p>
    <w:p w14:paraId="78AB8DBA" w14:textId="00F1CBC2" w:rsidR="00A005CE" w:rsidRPr="00C2008E" w:rsidRDefault="00A005CE" w:rsidP="00CB0C37">
      <w:pPr>
        <w:spacing w:line="276" w:lineRule="auto"/>
        <w:jc w:val="both"/>
      </w:pPr>
      <w:r>
        <w:t>An</w:t>
      </w:r>
      <w:r w:rsidRPr="00C2008E">
        <w:t xml:space="preserve"> evaluation of physical activity levels at the time of </w:t>
      </w:r>
      <w:r>
        <w:t>re-listing is reported to be</w:t>
      </w:r>
      <w:r w:rsidRPr="00C2008E">
        <w:t xml:space="preserve"> a</w:t>
      </w:r>
      <w:r>
        <w:t xml:space="preserve"> </w:t>
      </w:r>
      <w:r w:rsidRPr="00C2008E">
        <w:t>valuable tool for risk stratification and prediction of post-transplant patient survival</w:t>
      </w:r>
      <w:r w:rsidRPr="006B4DD2">
        <w:rPr>
          <w:noProof/>
          <w:vertAlign w:val="superscript"/>
        </w:rPr>
        <w:t>16</w:t>
      </w:r>
      <w:r w:rsidRPr="00C2008E">
        <w:t>.</w:t>
      </w:r>
      <w:r>
        <w:t xml:space="preserve"> </w:t>
      </w:r>
      <w:r w:rsidRPr="00C2008E">
        <w:t>Recommendations for physical activity should consider age, ethnic background, presence of other comorbidities and access to resources.</w:t>
      </w:r>
      <w:r>
        <w:t xml:space="preserve"> </w:t>
      </w:r>
      <w:r w:rsidRPr="00C2008E">
        <w:t xml:space="preserve">For patients at higher risk of falls, </w:t>
      </w:r>
      <w:r w:rsidR="00850844">
        <w:t>healthcare</w:t>
      </w:r>
      <w:r w:rsidRPr="00C2008E">
        <w:t xml:space="preserve"> providers should provide advice on the intensity of physical activity (low, moderate, or vigorous) and the type of </w:t>
      </w:r>
      <w:r w:rsidR="00850844">
        <w:t>exercise</w:t>
      </w:r>
      <w:r w:rsidRPr="00C2008E">
        <w:t xml:space="preserve"> (aerobic vs. resistance, or both)</w:t>
      </w:r>
      <w:r w:rsidRPr="006B4DD2">
        <w:rPr>
          <w:noProof/>
          <w:vertAlign w:val="superscript"/>
        </w:rPr>
        <w:t xml:space="preserve"> 17</w:t>
      </w:r>
      <w:r w:rsidRPr="00C2008E">
        <w:t>.</w:t>
      </w:r>
    </w:p>
    <w:p w14:paraId="68691E9D" w14:textId="5FA1755A" w:rsidR="00A005CE" w:rsidRDefault="00A005CE" w:rsidP="00CB0C37">
      <w:pPr>
        <w:spacing w:line="276" w:lineRule="auto"/>
        <w:jc w:val="both"/>
      </w:pPr>
      <w:r>
        <w:t xml:space="preserve">Approaches to improve physical </w:t>
      </w:r>
      <w:r w:rsidR="00850844">
        <w:t>well-being</w:t>
      </w:r>
      <w:r>
        <w:t xml:space="preserve"> may include:</w:t>
      </w:r>
    </w:p>
    <w:p w14:paraId="23C86B97" w14:textId="77777777" w:rsidR="00A005CE" w:rsidRPr="00C2008E" w:rsidRDefault="00A005CE" w:rsidP="00346D2E">
      <w:pPr>
        <w:pStyle w:val="ListParagraph"/>
        <w:numPr>
          <w:ilvl w:val="0"/>
          <w:numId w:val="37"/>
        </w:numPr>
      </w:pPr>
      <w:r>
        <w:t>Advice in relation to weight management and avoidance of sedentary behaviour</w:t>
      </w:r>
      <w:r w:rsidRPr="006B4DD2">
        <w:rPr>
          <w:noProof/>
          <w:vertAlign w:val="superscript"/>
        </w:rPr>
        <w:t>17, 18</w:t>
      </w:r>
      <w:r>
        <w:t xml:space="preserve"> (</w:t>
      </w:r>
      <w:r w:rsidRPr="00B5166F">
        <w:rPr>
          <w:i/>
          <w:iCs/>
        </w:rPr>
        <w:t xml:space="preserve">see </w:t>
      </w:r>
      <w:r>
        <w:rPr>
          <w:i/>
          <w:iCs/>
        </w:rPr>
        <w:t>Chapter 6, Lifestyle Issues</w:t>
      </w:r>
      <w:r>
        <w:t>).</w:t>
      </w:r>
    </w:p>
    <w:p w14:paraId="5AD451AD" w14:textId="77777777" w:rsidR="00A005CE" w:rsidRDefault="00A005CE" w:rsidP="00346D2E">
      <w:pPr>
        <w:pStyle w:val="ListParagraph"/>
        <w:numPr>
          <w:ilvl w:val="0"/>
          <w:numId w:val="37"/>
        </w:numPr>
      </w:pPr>
      <w:r>
        <w:rPr>
          <w:noProof/>
        </w:rPr>
        <w:t>Physical activity recommendations should be made in line with those proposed by the National Kidney Foundation (NKF) and Kidney Disease: Improving Global Outcomes (KDIGO)</w:t>
      </w:r>
      <w:r w:rsidRPr="006B4DD2">
        <w:rPr>
          <w:noProof/>
          <w:vertAlign w:val="superscript"/>
        </w:rPr>
        <w:t xml:space="preserve"> 17, 19</w:t>
      </w:r>
      <w:r>
        <w:rPr>
          <w:noProof/>
        </w:rPr>
        <w:t>.</w:t>
      </w:r>
    </w:p>
    <w:p w14:paraId="1E4E412D" w14:textId="77777777" w:rsidR="00A005CE" w:rsidRDefault="00A005CE" w:rsidP="00346D2E">
      <w:pPr>
        <w:pStyle w:val="ListParagraph"/>
        <w:numPr>
          <w:ilvl w:val="0"/>
          <w:numId w:val="37"/>
        </w:numPr>
      </w:pPr>
      <w:r w:rsidRPr="00C2008E">
        <w:t xml:space="preserve">Pre-habilitation </w:t>
      </w:r>
      <w:r>
        <w:t>to</w:t>
      </w:r>
      <w:r w:rsidRPr="00C2008E">
        <w:t xml:space="preserve"> improv</w:t>
      </w:r>
      <w:r>
        <w:t>e</w:t>
      </w:r>
      <w:r w:rsidRPr="00C2008E">
        <w:t xml:space="preserve"> frailty and cardiopulmonary fitness </w:t>
      </w:r>
      <w:r>
        <w:t>with added benefits for</w:t>
      </w:r>
      <w:r w:rsidRPr="00C2008E">
        <w:t xml:space="preserve"> mental wellbeing</w:t>
      </w:r>
      <w:r w:rsidRPr="006B4DD2">
        <w:rPr>
          <w:noProof/>
          <w:vertAlign w:val="superscript"/>
        </w:rPr>
        <w:t>20</w:t>
      </w:r>
      <w:r w:rsidRPr="00C2008E">
        <w:t>.</w:t>
      </w:r>
      <w:r>
        <w:t xml:space="preserve"> </w:t>
      </w:r>
    </w:p>
    <w:p w14:paraId="3B272155" w14:textId="77777777" w:rsidR="00A005CE" w:rsidRDefault="00A005CE" w:rsidP="00346D2E">
      <w:pPr>
        <w:pStyle w:val="ListParagraph"/>
        <w:numPr>
          <w:ilvl w:val="0"/>
          <w:numId w:val="37"/>
        </w:numPr>
      </w:pPr>
      <w:r w:rsidRPr="00C2008E">
        <w:t>Referral to physiotherap</w:t>
      </w:r>
      <w:r>
        <w:t>y services</w:t>
      </w:r>
      <w:r w:rsidRPr="00C2008E">
        <w:t xml:space="preserve"> </w:t>
      </w:r>
      <w:r>
        <w:t>may be indicated to promote</w:t>
      </w:r>
      <w:r w:rsidRPr="00C2008E">
        <w:t xml:space="preserve"> the adoption of exercise and raise awareness of the importance of physical activity</w:t>
      </w:r>
      <w:r w:rsidRPr="006B4DD2">
        <w:rPr>
          <w:noProof/>
          <w:vertAlign w:val="superscript"/>
        </w:rPr>
        <w:t>19</w:t>
      </w:r>
      <w:r>
        <w:rPr>
          <w:noProof/>
        </w:rPr>
        <w:t>.</w:t>
      </w:r>
    </w:p>
    <w:p w14:paraId="67368661" w14:textId="77777777" w:rsidR="00A005CE" w:rsidRPr="00DC4E5D" w:rsidRDefault="00A005CE" w:rsidP="00A005CE">
      <w:pPr>
        <w:pStyle w:val="Heading5"/>
      </w:pPr>
      <w:bookmarkStart w:id="160" w:name="_Toc128330063"/>
      <w:r>
        <w:t>10.3</w:t>
      </w:r>
      <w:r w:rsidRPr="00DC4E5D">
        <w:t xml:space="preserve">.1.3 </w:t>
      </w:r>
      <w:r w:rsidRPr="00DC4E5D">
        <w:tab/>
        <w:t>Smoking cessation</w:t>
      </w:r>
      <w:bookmarkEnd w:id="160"/>
    </w:p>
    <w:p w14:paraId="31CE2289" w14:textId="3748B915" w:rsidR="00A005CE" w:rsidRPr="000974E5" w:rsidRDefault="00A005CE" w:rsidP="00CB0C37">
      <w:pPr>
        <w:spacing w:line="276" w:lineRule="auto"/>
        <w:jc w:val="both"/>
      </w:pPr>
      <w:r w:rsidRPr="000974E5">
        <w:t xml:space="preserve">We recommend </w:t>
      </w:r>
      <w:r>
        <w:t>smoking cessation, with referral to local support services if necessary. Patients</w:t>
      </w:r>
      <w:r w:rsidRPr="000974E5">
        <w:t xml:space="preserve"> should also </w:t>
      </w:r>
      <w:r>
        <w:t>be advised to</w:t>
      </w:r>
      <w:r w:rsidRPr="000974E5">
        <w:t xml:space="preserve"> </w:t>
      </w:r>
      <w:r w:rsidR="00CB0C37">
        <w:t>desist from the use of</w:t>
      </w:r>
      <w:r w:rsidRPr="000974E5">
        <w:t xml:space="preserve"> recreational drugs and </w:t>
      </w:r>
      <w:r>
        <w:t xml:space="preserve">moderate </w:t>
      </w:r>
      <w:r w:rsidRPr="000974E5">
        <w:t>alcohol</w:t>
      </w:r>
      <w:r>
        <w:t xml:space="preserve"> intake</w:t>
      </w:r>
      <w:r w:rsidRPr="006B4DD2">
        <w:rPr>
          <w:noProof/>
          <w:vertAlign w:val="superscript"/>
        </w:rPr>
        <w:t>17</w:t>
      </w:r>
      <w:r w:rsidRPr="000974E5">
        <w:t xml:space="preserve">. </w:t>
      </w:r>
    </w:p>
    <w:p w14:paraId="4C0FBFCE" w14:textId="77777777" w:rsidR="00A005CE" w:rsidRPr="008049E9" w:rsidRDefault="00A005CE" w:rsidP="00A005CE">
      <w:pPr>
        <w:pStyle w:val="Heading5"/>
      </w:pPr>
      <w:bookmarkStart w:id="161" w:name="_Toc128330064"/>
      <w:r>
        <w:t>10.3</w:t>
      </w:r>
      <w:r w:rsidRPr="008049E9">
        <w:t xml:space="preserve">.1.4 </w:t>
      </w:r>
      <w:r w:rsidRPr="008049E9">
        <w:tab/>
        <w:t>Diet</w:t>
      </w:r>
      <w:bookmarkEnd w:id="161"/>
    </w:p>
    <w:p w14:paraId="133E1A1B" w14:textId="1930409B" w:rsidR="00A005CE" w:rsidRPr="00C218F7" w:rsidRDefault="00A005CE" w:rsidP="00CB0C37">
      <w:pPr>
        <w:spacing w:line="276" w:lineRule="auto"/>
        <w:jc w:val="both"/>
        <w:rPr>
          <w:i/>
        </w:rPr>
      </w:pPr>
      <w:r w:rsidRPr="00C218F7">
        <w:rPr>
          <w:iCs/>
        </w:rPr>
        <w:t>Referral to a renal dietician is recommended to provide personalised advice</w:t>
      </w:r>
      <w:r>
        <w:rPr>
          <w:iCs/>
        </w:rPr>
        <w:t xml:space="preserve"> </w:t>
      </w:r>
      <w:r w:rsidRPr="00C218F7">
        <w:rPr>
          <w:i/>
        </w:rPr>
        <w:t>(</w:t>
      </w:r>
      <w:r>
        <w:rPr>
          <w:i/>
        </w:rPr>
        <w:t>s</w:t>
      </w:r>
      <w:r w:rsidRPr="00C218F7">
        <w:rPr>
          <w:i/>
        </w:rPr>
        <w:t xml:space="preserve">ee </w:t>
      </w:r>
      <w:r w:rsidR="009E0472">
        <w:rPr>
          <w:i/>
        </w:rPr>
        <w:t>Section</w:t>
      </w:r>
      <w:r>
        <w:rPr>
          <w:i/>
        </w:rPr>
        <w:t xml:space="preserve"> 6, </w:t>
      </w:r>
      <w:r w:rsidRPr="00C218F7">
        <w:rPr>
          <w:i/>
        </w:rPr>
        <w:t>Lifestyle</w:t>
      </w:r>
      <w:r>
        <w:rPr>
          <w:i/>
        </w:rPr>
        <w:t xml:space="preserve"> Issues</w:t>
      </w:r>
      <w:r w:rsidRPr="00C218F7">
        <w:rPr>
          <w:i/>
        </w:rPr>
        <w:t xml:space="preserve">). </w:t>
      </w:r>
    </w:p>
    <w:p w14:paraId="507C303C" w14:textId="77777777" w:rsidR="00A005CE" w:rsidRPr="00C77E02" w:rsidRDefault="00A005CE" w:rsidP="00A005CE">
      <w:pPr>
        <w:pStyle w:val="Heading3"/>
      </w:pPr>
      <w:bookmarkStart w:id="162" w:name="_Toc128330065"/>
      <w:r w:rsidRPr="00C77E02">
        <w:t>10.</w:t>
      </w:r>
      <w:r>
        <w:t>4</w:t>
      </w:r>
      <w:r w:rsidRPr="00C77E02">
        <w:tab/>
      </w:r>
      <w:r>
        <w:t>R</w:t>
      </w:r>
      <w:r w:rsidRPr="00C77E02">
        <w:t>e-transplantation</w:t>
      </w:r>
      <w:bookmarkEnd w:id="162"/>
    </w:p>
    <w:p w14:paraId="47535100" w14:textId="6B2B2D8F" w:rsidR="00A005CE" w:rsidRPr="00C77E02" w:rsidRDefault="00A005CE" w:rsidP="00A005CE">
      <w:pPr>
        <w:pStyle w:val="Heading4"/>
      </w:pPr>
      <w:bookmarkStart w:id="163" w:name="_Toc128330066"/>
      <w:r w:rsidRPr="00C77E02">
        <w:t>10.</w:t>
      </w:r>
      <w:r>
        <w:t>4</w:t>
      </w:r>
      <w:r w:rsidRPr="00C77E02">
        <w:t>.1</w:t>
      </w:r>
      <w:r w:rsidRPr="00C77E02">
        <w:tab/>
      </w:r>
      <w:r w:rsidR="009E0472">
        <w:tab/>
      </w:r>
      <w:r w:rsidRPr="00C77E02">
        <w:t>Patient identification</w:t>
      </w:r>
      <w:bookmarkEnd w:id="163"/>
    </w:p>
    <w:p w14:paraId="625759B8" w14:textId="77777777" w:rsidR="00A005CE" w:rsidRDefault="00A005CE" w:rsidP="00CB0C37">
      <w:pPr>
        <w:pBdr>
          <w:top w:val="nil"/>
          <w:left w:val="nil"/>
          <w:bottom w:val="nil"/>
          <w:right w:val="nil"/>
          <w:between w:val="nil"/>
        </w:pBdr>
        <w:spacing w:line="276" w:lineRule="auto"/>
        <w:jc w:val="both"/>
        <w:rPr>
          <w:color w:val="000000"/>
        </w:rPr>
      </w:pPr>
      <w:r w:rsidRPr="00C2008E">
        <w:rPr>
          <w:color w:val="000000"/>
        </w:rPr>
        <w:t xml:space="preserve">All transplant patients should be considered for </w:t>
      </w:r>
      <w:r>
        <w:rPr>
          <w:color w:val="000000"/>
        </w:rPr>
        <w:t>re-transplantation</w:t>
      </w:r>
      <w:r w:rsidRPr="00C2008E">
        <w:rPr>
          <w:color w:val="000000"/>
        </w:rPr>
        <w:t xml:space="preserve"> if there is no absolute contraindication</w:t>
      </w:r>
      <w:r>
        <w:rPr>
          <w:color w:val="000000"/>
        </w:rPr>
        <w:t xml:space="preserve"> (see section 10.4.2)</w:t>
      </w:r>
      <w:r w:rsidRPr="00C2008E">
        <w:rPr>
          <w:color w:val="000000"/>
        </w:rPr>
        <w:t>.</w:t>
      </w:r>
      <w:r>
        <w:rPr>
          <w:color w:val="000000"/>
        </w:rPr>
        <w:t xml:space="preserve"> Patients considered for re-transplantation </w:t>
      </w:r>
      <w:r w:rsidRPr="00C2008E">
        <w:rPr>
          <w:color w:val="000000"/>
        </w:rPr>
        <w:t>should be discussed in an MDT environment with decisions documented then shared with patients and their core support group.</w:t>
      </w:r>
      <w:r w:rsidRPr="00977D7F">
        <w:rPr>
          <w:color w:val="000000"/>
        </w:rPr>
        <w:t xml:space="preserve"> </w:t>
      </w:r>
      <w:r>
        <w:rPr>
          <w:color w:val="000000"/>
        </w:rPr>
        <w:t>Although there is the potential for selection bias, l</w:t>
      </w:r>
      <w:r w:rsidRPr="00C2008E">
        <w:rPr>
          <w:color w:val="000000"/>
        </w:rPr>
        <w:t>arge cohort and population-level studies have demonstrated greater patient survival for those receiving a second kidney allograft compared to those remaining on dialysis</w:t>
      </w:r>
      <w:r w:rsidRPr="006B4DD2">
        <w:rPr>
          <w:noProof/>
          <w:color w:val="000000"/>
          <w:vertAlign w:val="superscript"/>
        </w:rPr>
        <w:t>21, 22</w:t>
      </w:r>
      <w:r>
        <w:rPr>
          <w:color w:val="000000"/>
        </w:rPr>
        <w:t xml:space="preserve"> (</w:t>
      </w:r>
      <w:r w:rsidRPr="00781483">
        <w:rPr>
          <w:i/>
          <w:iCs/>
          <w:color w:val="000000"/>
        </w:rPr>
        <w:t>see Chapter 11, Outcomes</w:t>
      </w:r>
      <w:r>
        <w:rPr>
          <w:color w:val="000000"/>
        </w:rPr>
        <w:t>)</w:t>
      </w:r>
      <w:r w:rsidRPr="00C2008E">
        <w:rPr>
          <w:color w:val="000000"/>
        </w:rPr>
        <w:t xml:space="preserve">. </w:t>
      </w:r>
      <w:r>
        <w:rPr>
          <w:color w:val="000000"/>
        </w:rPr>
        <w:t xml:space="preserve"> </w:t>
      </w:r>
      <w:r w:rsidRPr="00C2008E">
        <w:rPr>
          <w:color w:val="000000"/>
        </w:rPr>
        <w:t xml:space="preserve">Patient and </w:t>
      </w:r>
      <w:r>
        <w:rPr>
          <w:color w:val="000000"/>
        </w:rPr>
        <w:t xml:space="preserve">medical </w:t>
      </w:r>
      <w:r w:rsidRPr="00C2008E">
        <w:rPr>
          <w:color w:val="000000"/>
        </w:rPr>
        <w:t xml:space="preserve">decisions about </w:t>
      </w:r>
      <w:r>
        <w:rPr>
          <w:color w:val="000000"/>
        </w:rPr>
        <w:t>re-transplantation</w:t>
      </w:r>
      <w:r w:rsidRPr="00C2008E">
        <w:rPr>
          <w:color w:val="000000"/>
        </w:rPr>
        <w:t xml:space="preserve"> are likely to be more complex as patients are older and </w:t>
      </w:r>
      <w:r>
        <w:rPr>
          <w:color w:val="000000"/>
        </w:rPr>
        <w:t xml:space="preserve">likely to be </w:t>
      </w:r>
      <w:r w:rsidRPr="00C2008E">
        <w:rPr>
          <w:color w:val="000000"/>
        </w:rPr>
        <w:t>more comorbid compared to their first transplant</w:t>
      </w:r>
      <w:r w:rsidRPr="006B4DD2">
        <w:rPr>
          <w:noProof/>
          <w:color w:val="000000"/>
          <w:vertAlign w:val="superscript"/>
        </w:rPr>
        <w:t>23</w:t>
      </w:r>
      <w:r w:rsidRPr="00C2008E">
        <w:rPr>
          <w:color w:val="000000"/>
        </w:rPr>
        <w:t xml:space="preserve">. </w:t>
      </w:r>
    </w:p>
    <w:p w14:paraId="4C19D730" w14:textId="727FAA14" w:rsidR="00A005CE" w:rsidRPr="00906FF6" w:rsidRDefault="00A005CE" w:rsidP="00A005CE">
      <w:pPr>
        <w:pStyle w:val="Heading4"/>
      </w:pPr>
      <w:bookmarkStart w:id="164" w:name="_Toc128330067"/>
      <w:r>
        <w:t>10.4.2</w:t>
      </w:r>
      <w:r w:rsidRPr="00906FF6">
        <w:tab/>
      </w:r>
      <w:r w:rsidR="009E0472">
        <w:tab/>
      </w:r>
      <w:r w:rsidRPr="00906FF6">
        <w:t>Suitability for re-transplantation</w:t>
      </w:r>
      <w:bookmarkEnd w:id="164"/>
    </w:p>
    <w:p w14:paraId="16612322" w14:textId="77777777" w:rsidR="00A005CE" w:rsidRPr="00C2008E" w:rsidRDefault="00A005CE" w:rsidP="00CB0C37">
      <w:pPr>
        <w:spacing w:line="276" w:lineRule="auto"/>
        <w:jc w:val="both"/>
        <w:sectPr w:rsidR="00A005CE" w:rsidRPr="00C2008E" w:rsidSect="00A005CE">
          <w:type w:val="continuous"/>
          <w:pgSz w:w="11906" w:h="16838"/>
          <w:pgMar w:top="1440" w:right="1440" w:bottom="1440" w:left="1440" w:header="708" w:footer="708" w:gutter="0"/>
          <w:cols w:space="708"/>
          <w:docGrid w:linePitch="360"/>
        </w:sectPr>
      </w:pPr>
      <w:r>
        <w:t>A</w:t>
      </w:r>
      <w:r w:rsidRPr="00C2008E">
        <w:t>bsolute and relative contraindications to re-transplantation include:</w:t>
      </w:r>
    </w:p>
    <w:p w14:paraId="278D88E6" w14:textId="09F2E577" w:rsidR="00A005CE" w:rsidRPr="00E72375" w:rsidRDefault="00A005CE">
      <w:pPr>
        <w:numPr>
          <w:ilvl w:val="0"/>
          <w:numId w:val="35"/>
        </w:numPr>
        <w:pBdr>
          <w:top w:val="nil"/>
          <w:left w:val="nil"/>
          <w:bottom w:val="nil"/>
          <w:right w:val="nil"/>
          <w:between w:val="nil"/>
        </w:pBdr>
        <w:spacing w:line="276" w:lineRule="auto"/>
        <w:rPr>
          <w:color w:val="000000"/>
        </w:rPr>
      </w:pPr>
      <w:r w:rsidRPr="00E72375">
        <w:rPr>
          <w:color w:val="000000"/>
        </w:rPr>
        <w:t xml:space="preserve">Active malignant disease or undergoing post-cancer wait </w:t>
      </w:r>
      <w:r w:rsidR="009E0472" w:rsidRPr="00E72375">
        <w:rPr>
          <w:color w:val="000000"/>
        </w:rPr>
        <w:t>time</w:t>
      </w:r>
    </w:p>
    <w:p w14:paraId="7BC9A635" w14:textId="77777777" w:rsidR="00A005CE" w:rsidRPr="00E72375" w:rsidRDefault="00A005CE">
      <w:pPr>
        <w:numPr>
          <w:ilvl w:val="0"/>
          <w:numId w:val="35"/>
        </w:numPr>
        <w:pBdr>
          <w:top w:val="nil"/>
          <w:left w:val="nil"/>
          <w:bottom w:val="nil"/>
          <w:right w:val="nil"/>
          <w:between w:val="nil"/>
        </w:pBdr>
        <w:spacing w:line="276" w:lineRule="auto"/>
        <w:rPr>
          <w:color w:val="000000"/>
        </w:rPr>
      </w:pPr>
      <w:r w:rsidRPr="00E72375">
        <w:rPr>
          <w:color w:val="000000"/>
        </w:rPr>
        <w:t>Severe extrarenal disease</w:t>
      </w:r>
    </w:p>
    <w:p w14:paraId="01FA4A7A" w14:textId="77777777" w:rsidR="00A005CE" w:rsidRPr="00E72375" w:rsidRDefault="00A005CE">
      <w:pPr>
        <w:numPr>
          <w:ilvl w:val="0"/>
          <w:numId w:val="35"/>
        </w:numPr>
        <w:pBdr>
          <w:top w:val="nil"/>
          <w:left w:val="nil"/>
          <w:bottom w:val="nil"/>
          <w:right w:val="nil"/>
          <w:between w:val="nil"/>
        </w:pBdr>
        <w:spacing w:line="276" w:lineRule="auto"/>
        <w:rPr>
          <w:color w:val="000000"/>
        </w:rPr>
      </w:pPr>
      <w:r w:rsidRPr="00E72375">
        <w:rPr>
          <w:color w:val="000000"/>
        </w:rPr>
        <w:t>Uncontrolled autoimmune disease</w:t>
      </w:r>
    </w:p>
    <w:p w14:paraId="7A07CA50" w14:textId="77777777" w:rsidR="00A005CE" w:rsidRPr="00E72375" w:rsidRDefault="00A005CE">
      <w:pPr>
        <w:numPr>
          <w:ilvl w:val="0"/>
          <w:numId w:val="35"/>
        </w:numPr>
        <w:pBdr>
          <w:top w:val="nil"/>
          <w:left w:val="nil"/>
          <w:bottom w:val="nil"/>
          <w:right w:val="nil"/>
          <w:between w:val="nil"/>
        </w:pBdr>
        <w:spacing w:line="276" w:lineRule="auto"/>
        <w:rPr>
          <w:color w:val="000000"/>
        </w:rPr>
      </w:pPr>
      <w:r w:rsidRPr="00E72375">
        <w:rPr>
          <w:color w:val="000000"/>
        </w:rPr>
        <w:t>Ongoing uncontrolled infection</w:t>
      </w:r>
    </w:p>
    <w:p w14:paraId="17E94E69" w14:textId="77777777" w:rsidR="00A005CE" w:rsidRPr="00E72375" w:rsidRDefault="00A005CE">
      <w:pPr>
        <w:numPr>
          <w:ilvl w:val="0"/>
          <w:numId w:val="35"/>
        </w:numPr>
        <w:pBdr>
          <w:top w:val="nil"/>
          <w:left w:val="nil"/>
          <w:bottom w:val="nil"/>
          <w:right w:val="nil"/>
          <w:between w:val="nil"/>
        </w:pBdr>
        <w:spacing w:line="276" w:lineRule="auto"/>
        <w:rPr>
          <w:color w:val="000000"/>
        </w:rPr>
      </w:pPr>
      <w:r w:rsidRPr="00E72375">
        <w:rPr>
          <w:color w:val="000000"/>
        </w:rPr>
        <w:t>Cardiovascular morbidity</w:t>
      </w:r>
    </w:p>
    <w:p w14:paraId="6C71D98C" w14:textId="77777777" w:rsidR="00A005CE" w:rsidRPr="00E72375" w:rsidRDefault="00A005CE">
      <w:pPr>
        <w:numPr>
          <w:ilvl w:val="0"/>
          <w:numId w:val="35"/>
        </w:numPr>
        <w:pBdr>
          <w:top w:val="nil"/>
          <w:left w:val="nil"/>
          <w:bottom w:val="nil"/>
          <w:right w:val="nil"/>
          <w:between w:val="nil"/>
        </w:pBdr>
        <w:spacing w:line="276" w:lineRule="auto"/>
        <w:rPr>
          <w:color w:val="000000"/>
        </w:rPr>
      </w:pPr>
      <w:r>
        <w:rPr>
          <w:color w:val="000000"/>
        </w:rPr>
        <w:t>Anatomical limitations</w:t>
      </w:r>
      <w:r w:rsidRPr="00E72375">
        <w:rPr>
          <w:color w:val="000000"/>
        </w:rPr>
        <w:t xml:space="preserve"> (</w:t>
      </w:r>
      <w:proofErr w:type="gramStart"/>
      <w:r w:rsidRPr="00E72375">
        <w:rPr>
          <w:color w:val="000000"/>
        </w:rPr>
        <w:t>e.g.</w:t>
      </w:r>
      <w:proofErr w:type="gramEnd"/>
      <w:r w:rsidRPr="00E72375">
        <w:rPr>
          <w:color w:val="000000"/>
        </w:rPr>
        <w:t xml:space="preserve"> frozen pelvis or occluded vessels)</w:t>
      </w:r>
    </w:p>
    <w:p w14:paraId="66B3D408" w14:textId="77777777" w:rsidR="00A005CE" w:rsidRPr="00E72375" w:rsidRDefault="00A005CE">
      <w:pPr>
        <w:numPr>
          <w:ilvl w:val="0"/>
          <w:numId w:val="35"/>
        </w:numPr>
        <w:pBdr>
          <w:top w:val="nil"/>
          <w:left w:val="nil"/>
          <w:bottom w:val="nil"/>
          <w:right w:val="nil"/>
          <w:between w:val="nil"/>
        </w:pBdr>
        <w:spacing w:line="276" w:lineRule="auto"/>
        <w:rPr>
          <w:color w:val="000000"/>
        </w:rPr>
      </w:pPr>
      <w:r w:rsidRPr="00E72375">
        <w:rPr>
          <w:color w:val="000000"/>
        </w:rPr>
        <w:t>R</w:t>
      </w:r>
      <w:r>
        <w:rPr>
          <w:color w:val="000000"/>
        </w:rPr>
        <w:t>apidly r</w:t>
      </w:r>
      <w:r w:rsidRPr="00E72375">
        <w:rPr>
          <w:color w:val="000000"/>
        </w:rPr>
        <w:t xml:space="preserve">ecurrent disease </w:t>
      </w:r>
    </w:p>
    <w:p w14:paraId="1BDA20A2" w14:textId="77777777" w:rsidR="00A005CE" w:rsidRPr="00E72375" w:rsidRDefault="00A005CE">
      <w:pPr>
        <w:numPr>
          <w:ilvl w:val="0"/>
          <w:numId w:val="35"/>
        </w:numPr>
        <w:pBdr>
          <w:top w:val="nil"/>
          <w:left w:val="nil"/>
          <w:bottom w:val="nil"/>
          <w:right w:val="nil"/>
          <w:between w:val="nil"/>
        </w:pBdr>
        <w:spacing w:line="276" w:lineRule="auto"/>
        <w:rPr>
          <w:color w:val="000000"/>
        </w:rPr>
      </w:pPr>
      <w:r w:rsidRPr="00E72375">
        <w:rPr>
          <w:color w:val="000000"/>
        </w:rPr>
        <w:t>Frailty or cognitive decline</w:t>
      </w:r>
    </w:p>
    <w:p w14:paraId="1A22A5A5" w14:textId="77777777" w:rsidR="00A005CE" w:rsidRPr="00E72375" w:rsidRDefault="00A005CE">
      <w:pPr>
        <w:numPr>
          <w:ilvl w:val="0"/>
          <w:numId w:val="35"/>
        </w:numPr>
        <w:pBdr>
          <w:top w:val="nil"/>
          <w:left w:val="nil"/>
          <w:bottom w:val="nil"/>
          <w:right w:val="nil"/>
          <w:between w:val="nil"/>
        </w:pBdr>
        <w:spacing w:line="276" w:lineRule="auto"/>
        <w:rPr>
          <w:color w:val="000000"/>
        </w:rPr>
      </w:pPr>
      <w:r w:rsidRPr="00E72375">
        <w:rPr>
          <w:color w:val="000000"/>
        </w:rPr>
        <w:lastRenderedPageBreak/>
        <w:t>Weight extremes (high or low BMI)</w:t>
      </w:r>
    </w:p>
    <w:p w14:paraId="3E3966A9" w14:textId="77777777" w:rsidR="00A005CE" w:rsidRPr="00E72375" w:rsidRDefault="00A005CE">
      <w:pPr>
        <w:numPr>
          <w:ilvl w:val="0"/>
          <w:numId w:val="35"/>
        </w:numPr>
        <w:pBdr>
          <w:top w:val="nil"/>
          <w:left w:val="nil"/>
          <w:bottom w:val="nil"/>
          <w:right w:val="nil"/>
          <w:between w:val="nil"/>
        </w:pBdr>
        <w:spacing w:line="276" w:lineRule="auto"/>
        <w:rPr>
          <w:color w:val="000000"/>
        </w:rPr>
      </w:pPr>
      <w:r w:rsidRPr="00E72375">
        <w:rPr>
          <w:color w:val="000000"/>
        </w:rPr>
        <w:t>Psychiatric or psychological illness</w:t>
      </w:r>
    </w:p>
    <w:p w14:paraId="3B243251" w14:textId="77777777" w:rsidR="00A005CE" w:rsidRPr="00E72375" w:rsidRDefault="00A005CE">
      <w:pPr>
        <w:numPr>
          <w:ilvl w:val="0"/>
          <w:numId w:val="35"/>
        </w:numPr>
        <w:pBdr>
          <w:top w:val="nil"/>
          <w:left w:val="nil"/>
          <w:bottom w:val="nil"/>
          <w:right w:val="nil"/>
          <w:between w:val="nil"/>
        </w:pBdr>
        <w:spacing w:line="276" w:lineRule="auto"/>
        <w:rPr>
          <w:color w:val="000000"/>
        </w:rPr>
        <w:sectPr w:rsidR="00A005CE" w:rsidRPr="00E72375" w:rsidSect="00AC23AC">
          <w:type w:val="continuous"/>
          <w:pgSz w:w="11906" w:h="16838"/>
          <w:pgMar w:top="1440" w:right="1440" w:bottom="1440" w:left="1440" w:header="708" w:footer="708" w:gutter="0"/>
          <w:cols w:num="2" w:space="720" w:equalWidth="0">
            <w:col w:w="4516" w:space="708"/>
            <w:col w:w="3802" w:space="0"/>
          </w:cols>
        </w:sectPr>
      </w:pPr>
      <w:r w:rsidRPr="00E72375">
        <w:rPr>
          <w:color w:val="000000"/>
        </w:rPr>
        <w:t>Poor concordance</w:t>
      </w:r>
    </w:p>
    <w:p w14:paraId="76AB2DDB" w14:textId="71010FEA" w:rsidR="00A005CE" w:rsidRPr="00977D7F" w:rsidRDefault="00A005CE" w:rsidP="00CB0C37">
      <w:pPr>
        <w:spacing w:line="276" w:lineRule="auto"/>
        <w:jc w:val="both"/>
      </w:pPr>
      <w:r w:rsidRPr="00C2008E">
        <w:t xml:space="preserve">Not all contraindications are </w:t>
      </w:r>
      <w:r>
        <w:t>immutable</w:t>
      </w:r>
      <w:r w:rsidRPr="00C2008E">
        <w:t xml:space="preserve"> so re-transplantation should be discussed with the patient </w:t>
      </w:r>
      <w:r w:rsidR="009E0472">
        <w:t>(</w:t>
      </w:r>
      <w:r w:rsidRPr="00C2008E">
        <w:t>and their core support group</w:t>
      </w:r>
      <w:r w:rsidR="009E0472">
        <w:t>)</w:t>
      </w:r>
      <w:r w:rsidRPr="00C2008E">
        <w:t xml:space="preserve"> should their situation change and at regular intervals whilst </w:t>
      </w:r>
      <w:r w:rsidR="00850844">
        <w:t>undergoing</w:t>
      </w:r>
      <w:r w:rsidRPr="00C2008E">
        <w:t xml:space="preserve"> </w:t>
      </w:r>
      <w:r w:rsidRPr="00977D7F">
        <w:t>work-up for RRT or whilst on dialysis.</w:t>
      </w:r>
    </w:p>
    <w:p w14:paraId="200B21FF" w14:textId="77777777" w:rsidR="00A005CE" w:rsidRPr="00977D7F" w:rsidRDefault="00A005CE" w:rsidP="00CB0C37">
      <w:pPr>
        <w:spacing w:line="276" w:lineRule="auto"/>
        <w:jc w:val="both"/>
      </w:pPr>
      <w:r w:rsidRPr="00977D7F">
        <w:t xml:space="preserve">Patients who are declined transplant re-listing should, if they wish, be offered an opportunity to discuss the decision or have a second opinion from another unit. </w:t>
      </w:r>
    </w:p>
    <w:p w14:paraId="6623FBCA" w14:textId="7F197980" w:rsidR="00A005CE" w:rsidRPr="00C51D56" w:rsidRDefault="00A005CE" w:rsidP="00A005CE">
      <w:pPr>
        <w:pStyle w:val="Heading4"/>
      </w:pPr>
      <w:bookmarkStart w:id="165" w:name="_Toc128330068"/>
      <w:r w:rsidRPr="00C51D56">
        <w:t>10.</w:t>
      </w:r>
      <w:r>
        <w:t>4.3</w:t>
      </w:r>
      <w:r w:rsidRPr="00C51D56">
        <w:tab/>
      </w:r>
      <w:r w:rsidR="009E0472">
        <w:tab/>
      </w:r>
      <w:r w:rsidRPr="00C51D56">
        <w:t>Timing</w:t>
      </w:r>
      <w:bookmarkEnd w:id="165"/>
    </w:p>
    <w:p w14:paraId="0D7F7184" w14:textId="19FF24CD" w:rsidR="00A005CE" w:rsidRDefault="00A005CE" w:rsidP="00CB0C37">
      <w:pPr>
        <w:spacing w:line="276" w:lineRule="auto"/>
        <w:jc w:val="both"/>
      </w:pPr>
      <w:r w:rsidRPr="00C2008E">
        <w:rPr>
          <w:color w:val="000000"/>
        </w:rPr>
        <w:t xml:space="preserve"> All patients with an eGFR&lt;20ml/minute/1.73m</w:t>
      </w:r>
      <w:r w:rsidRPr="00C2008E">
        <w:rPr>
          <w:color w:val="000000"/>
          <w:vertAlign w:val="superscript"/>
        </w:rPr>
        <w:t>2</w:t>
      </w:r>
      <w:r w:rsidRPr="00C2008E">
        <w:rPr>
          <w:color w:val="000000"/>
        </w:rPr>
        <w:t xml:space="preserve"> or with a graft that is likely to fail within the next 12 months should be considered for </w:t>
      </w:r>
      <w:r>
        <w:rPr>
          <w:color w:val="000000"/>
        </w:rPr>
        <w:t>re-transplantation</w:t>
      </w:r>
      <w:r w:rsidRPr="00C2008E">
        <w:rPr>
          <w:color w:val="000000"/>
        </w:rPr>
        <w:t xml:space="preserve">. </w:t>
      </w:r>
      <w:r>
        <w:rPr>
          <w:color w:val="000000"/>
        </w:rPr>
        <w:t xml:space="preserve">On average </w:t>
      </w:r>
      <w:r w:rsidRPr="00C2008E">
        <w:rPr>
          <w:color w:val="000000"/>
        </w:rPr>
        <w:t xml:space="preserve">renal transplant recipients lose graft function at a rate of </w:t>
      </w:r>
      <w:r w:rsidRPr="00C2008E">
        <w:t>0.8ml/minute/1.73m</w:t>
      </w:r>
      <w:r w:rsidRPr="00C2008E">
        <w:rPr>
          <w:vertAlign w:val="superscript"/>
        </w:rPr>
        <w:t>2</w:t>
      </w:r>
      <w:r w:rsidRPr="00C2008E">
        <w:t>/year</w:t>
      </w:r>
      <w:r>
        <w:t xml:space="preserve"> but this rate of decline is often highly variable and unpredictable</w:t>
      </w:r>
      <w:r w:rsidRPr="006B4DD2">
        <w:rPr>
          <w:noProof/>
          <w:vertAlign w:val="superscript"/>
        </w:rPr>
        <w:t>18</w:t>
      </w:r>
      <w:r w:rsidRPr="00C2008E">
        <w:t xml:space="preserve">.  </w:t>
      </w:r>
      <w:r>
        <w:t xml:space="preserve">This rate of decline may be higher in </w:t>
      </w:r>
      <w:r w:rsidRPr="00C2008E">
        <w:t xml:space="preserve">patients </w:t>
      </w:r>
      <w:r>
        <w:t>who are</w:t>
      </w:r>
      <w:r w:rsidRPr="00C2008E">
        <w:t xml:space="preserve"> </w:t>
      </w:r>
      <w:r>
        <w:t>younger</w:t>
      </w:r>
      <w:r w:rsidRPr="00C2008E">
        <w:t>,</w:t>
      </w:r>
      <w:r>
        <w:t xml:space="preserve"> </w:t>
      </w:r>
      <w:r w:rsidRPr="00C2008E">
        <w:t>female</w:t>
      </w:r>
      <w:r>
        <w:t xml:space="preserve"> or from Black, Asian and Minority Backgrounds (BAME)</w:t>
      </w:r>
      <w:r w:rsidRPr="006B4DD2">
        <w:rPr>
          <w:noProof/>
          <w:vertAlign w:val="superscript"/>
        </w:rPr>
        <w:t xml:space="preserve"> 24, 25</w:t>
      </w:r>
      <w:r w:rsidRPr="00C2008E">
        <w:t xml:space="preserve">. </w:t>
      </w:r>
    </w:p>
    <w:p w14:paraId="6D329577" w14:textId="1B384091" w:rsidR="00A005CE" w:rsidRDefault="00850844" w:rsidP="00CB0C37">
      <w:pPr>
        <w:spacing w:line="276" w:lineRule="auto"/>
        <w:jc w:val="both"/>
        <w:rPr>
          <w:color w:val="000000"/>
        </w:rPr>
      </w:pPr>
      <w:r>
        <w:rPr>
          <w:color w:val="000000"/>
        </w:rPr>
        <w:t>A timely</w:t>
      </w:r>
      <w:r w:rsidR="00A005CE" w:rsidRPr="00C2008E">
        <w:rPr>
          <w:color w:val="000000"/>
        </w:rPr>
        <w:t xml:space="preserve"> referral is vitally important</w:t>
      </w:r>
      <w:r w:rsidR="00A005CE">
        <w:rPr>
          <w:color w:val="000000"/>
        </w:rPr>
        <w:t xml:space="preserve"> as patients with failing transplants are likely to be more comorbid than those undergoing assessment for their first transplant.  An automated screening system may help with patient identification. Referral to other specialists and completion of pre-transplant assessments can delay confirmation of fitness to proceed. Due to sensitization, the waiting time on the transplant list may be longer due to the </w:t>
      </w:r>
      <w:r>
        <w:rPr>
          <w:color w:val="000000"/>
        </w:rPr>
        <w:t>potentially</w:t>
      </w:r>
      <w:r w:rsidR="00A005CE">
        <w:rPr>
          <w:color w:val="000000"/>
        </w:rPr>
        <w:t xml:space="preserve"> increased </w:t>
      </w:r>
      <w:r w:rsidR="00A005CE" w:rsidRPr="00C2008E">
        <w:rPr>
          <w:color w:val="000000"/>
        </w:rPr>
        <w:t xml:space="preserve">complexity of identifying a compatible </w:t>
      </w:r>
      <w:r w:rsidR="00A005CE">
        <w:rPr>
          <w:color w:val="000000"/>
        </w:rPr>
        <w:t>allograft</w:t>
      </w:r>
      <w:r w:rsidR="00A005CE" w:rsidRPr="006B4DD2">
        <w:rPr>
          <w:noProof/>
          <w:color w:val="000000"/>
          <w:vertAlign w:val="superscript"/>
        </w:rPr>
        <w:t>26, 27</w:t>
      </w:r>
      <w:r w:rsidR="00A005CE">
        <w:rPr>
          <w:color w:val="000000"/>
        </w:rPr>
        <w:t xml:space="preserve">. </w:t>
      </w:r>
    </w:p>
    <w:p w14:paraId="489CDF21" w14:textId="0F570FA0" w:rsidR="00A005CE" w:rsidRPr="008049E9" w:rsidRDefault="00A005CE" w:rsidP="00A005CE">
      <w:pPr>
        <w:pStyle w:val="Heading4"/>
      </w:pPr>
      <w:bookmarkStart w:id="166" w:name="_Toc128330069"/>
      <w:r>
        <w:t>10.4</w:t>
      </w:r>
      <w:r w:rsidRPr="008049E9">
        <w:t>.</w:t>
      </w:r>
      <w:r>
        <w:t>4</w:t>
      </w:r>
      <w:r w:rsidRPr="008049E9">
        <w:tab/>
      </w:r>
      <w:r w:rsidR="009E0472">
        <w:tab/>
      </w:r>
      <w:r>
        <w:t>L</w:t>
      </w:r>
      <w:r w:rsidRPr="008049E9">
        <w:t>iving donation</w:t>
      </w:r>
      <w:bookmarkEnd w:id="166"/>
    </w:p>
    <w:p w14:paraId="4528DA37" w14:textId="0753DF37" w:rsidR="00A005CE" w:rsidRPr="00DC4E5D" w:rsidRDefault="00A005CE" w:rsidP="00CB0C37">
      <w:pPr>
        <w:spacing w:line="276" w:lineRule="auto"/>
        <w:jc w:val="both"/>
      </w:pPr>
      <w:r>
        <w:t xml:space="preserve">The inaccurate prediction of </w:t>
      </w:r>
      <w:r w:rsidR="00850844">
        <w:t xml:space="preserve">the </w:t>
      </w:r>
      <w:r>
        <w:t>timing of transplant failure with late referral is the most frequently identified cause for failing to achieve pre-emptive retransplantation. Timely referral and earlier identification of potential living donors could help to address this issue</w:t>
      </w:r>
      <w:r w:rsidRPr="006B4DD2">
        <w:rPr>
          <w:noProof/>
          <w:vertAlign w:val="superscript"/>
        </w:rPr>
        <w:t>28</w:t>
      </w:r>
      <w:r w:rsidRPr="00C2008E">
        <w:t>.</w:t>
      </w:r>
      <w:r>
        <w:t xml:space="preserve"> Several approaches have been developed to encourage living donation, including p</w:t>
      </w:r>
      <w:r w:rsidRPr="00C2008E">
        <w:t>atient education sessions, living donor champion parties, social media app</w:t>
      </w:r>
      <w:r>
        <w:t>s</w:t>
      </w:r>
      <w:r w:rsidRPr="00C2008E">
        <w:t xml:space="preserve"> involving their core support group, acquaintances or interested parties</w:t>
      </w:r>
      <w:r w:rsidRPr="006B4DD2">
        <w:rPr>
          <w:noProof/>
          <w:vertAlign w:val="superscript"/>
        </w:rPr>
        <w:t>29</w:t>
      </w:r>
      <w:r w:rsidRPr="00C2008E">
        <w:t>.</w:t>
      </w:r>
    </w:p>
    <w:p w14:paraId="4B485908" w14:textId="77777777" w:rsidR="00A005CE" w:rsidRPr="00C2008E" w:rsidRDefault="00A005CE" w:rsidP="00A005CE">
      <w:pPr>
        <w:pStyle w:val="Heading3"/>
      </w:pPr>
      <w:bookmarkStart w:id="167" w:name="_Toc128330070"/>
      <w:r>
        <w:t>10.5</w:t>
      </w:r>
      <w:r w:rsidRPr="00C2008E">
        <w:tab/>
      </w:r>
      <w:r>
        <w:t>Dialysis</w:t>
      </w:r>
      <w:r w:rsidRPr="00C2008E">
        <w:t xml:space="preserve"> or conservative management</w:t>
      </w:r>
      <w:bookmarkEnd w:id="167"/>
    </w:p>
    <w:p w14:paraId="318C54B5" w14:textId="77777777" w:rsidR="00A005CE" w:rsidRPr="00C2008E" w:rsidRDefault="00A005CE" w:rsidP="00CB0C37">
      <w:pPr>
        <w:pBdr>
          <w:top w:val="nil"/>
          <w:left w:val="nil"/>
          <w:bottom w:val="nil"/>
          <w:right w:val="nil"/>
          <w:between w:val="nil"/>
        </w:pBdr>
        <w:spacing w:line="276" w:lineRule="auto"/>
        <w:jc w:val="both"/>
        <w:rPr>
          <w:color w:val="000000"/>
        </w:rPr>
      </w:pPr>
      <w:r w:rsidRPr="00C2008E">
        <w:rPr>
          <w:color w:val="000000"/>
        </w:rPr>
        <w:t xml:space="preserve">Patients with </w:t>
      </w:r>
      <w:r>
        <w:rPr>
          <w:color w:val="000000"/>
        </w:rPr>
        <w:t xml:space="preserve">a </w:t>
      </w:r>
      <w:r w:rsidRPr="00C2008E">
        <w:rPr>
          <w:color w:val="000000"/>
        </w:rPr>
        <w:t xml:space="preserve">failing kidney </w:t>
      </w:r>
      <w:r>
        <w:rPr>
          <w:color w:val="000000"/>
        </w:rPr>
        <w:t>transplant</w:t>
      </w:r>
      <w:r w:rsidRPr="00C2008E">
        <w:rPr>
          <w:color w:val="000000"/>
        </w:rPr>
        <w:t xml:space="preserve"> should be supported to make informed decisions about their treatment options. </w:t>
      </w:r>
      <w:r>
        <w:rPr>
          <w:color w:val="000000"/>
        </w:rPr>
        <w:t xml:space="preserve">The “transplant first” approach may have </w:t>
      </w:r>
      <w:r w:rsidRPr="00C2008E">
        <w:rPr>
          <w:color w:val="000000"/>
        </w:rPr>
        <w:t>result</w:t>
      </w:r>
      <w:r>
        <w:rPr>
          <w:color w:val="000000"/>
        </w:rPr>
        <w:t>ed</w:t>
      </w:r>
      <w:r w:rsidRPr="00C2008E">
        <w:rPr>
          <w:color w:val="000000"/>
        </w:rPr>
        <w:t xml:space="preserve"> in </w:t>
      </w:r>
      <w:r>
        <w:rPr>
          <w:color w:val="000000"/>
        </w:rPr>
        <w:t xml:space="preserve">a </w:t>
      </w:r>
      <w:r w:rsidRPr="00C2008E">
        <w:rPr>
          <w:color w:val="000000"/>
        </w:rPr>
        <w:t xml:space="preserve">limited </w:t>
      </w:r>
      <w:r>
        <w:rPr>
          <w:color w:val="000000"/>
        </w:rPr>
        <w:t xml:space="preserve">knowledge or </w:t>
      </w:r>
      <w:r w:rsidRPr="00C2008E">
        <w:rPr>
          <w:color w:val="000000"/>
        </w:rPr>
        <w:t>experience of other RRT modalities</w:t>
      </w:r>
      <w:r>
        <w:rPr>
          <w:color w:val="000000"/>
        </w:rPr>
        <w:t xml:space="preserve"> </w:t>
      </w:r>
      <w:r w:rsidRPr="00C2008E">
        <w:rPr>
          <w:color w:val="000000"/>
        </w:rPr>
        <w:t xml:space="preserve">or </w:t>
      </w:r>
      <w:r>
        <w:rPr>
          <w:color w:val="000000"/>
        </w:rPr>
        <w:t xml:space="preserve">there may have been practice </w:t>
      </w:r>
      <w:r w:rsidRPr="00C2008E">
        <w:rPr>
          <w:color w:val="000000"/>
        </w:rPr>
        <w:t xml:space="preserve">changes since </w:t>
      </w:r>
      <w:r>
        <w:rPr>
          <w:color w:val="000000"/>
        </w:rPr>
        <w:t xml:space="preserve">their </w:t>
      </w:r>
      <w:r w:rsidRPr="00C2008E">
        <w:rPr>
          <w:color w:val="000000"/>
        </w:rPr>
        <w:t xml:space="preserve">prior experiences. Thus, treatment options should </w:t>
      </w:r>
      <w:r>
        <w:rPr>
          <w:color w:val="000000"/>
        </w:rPr>
        <w:t xml:space="preserve">usually </w:t>
      </w:r>
      <w:r w:rsidRPr="00C2008E">
        <w:rPr>
          <w:color w:val="000000"/>
        </w:rPr>
        <w:t>be discussed as though it was their first experience with end-stage renal disease. It is important that all patients are provided with sufficient information and support they need to make use of that information, to enable active participation in the decision-making around their future care</w:t>
      </w:r>
      <w:r w:rsidRPr="006B4DD2">
        <w:rPr>
          <w:noProof/>
          <w:color w:val="000000"/>
          <w:vertAlign w:val="superscript"/>
        </w:rPr>
        <w:t>21</w:t>
      </w:r>
      <w:r w:rsidRPr="00C2008E">
        <w:rPr>
          <w:color w:val="000000"/>
        </w:rPr>
        <w:t xml:space="preserve">. </w:t>
      </w:r>
    </w:p>
    <w:p w14:paraId="6F9A848F" w14:textId="77777777" w:rsidR="00A005CE" w:rsidRDefault="00A005CE" w:rsidP="00CB0C37">
      <w:pPr>
        <w:pBdr>
          <w:top w:val="nil"/>
          <w:left w:val="nil"/>
          <w:bottom w:val="nil"/>
          <w:right w:val="nil"/>
          <w:between w:val="nil"/>
        </w:pBdr>
        <w:spacing w:line="276" w:lineRule="auto"/>
        <w:jc w:val="both"/>
        <w:rPr>
          <w:color w:val="000000"/>
        </w:rPr>
      </w:pPr>
      <w:r w:rsidRPr="00C2008E">
        <w:rPr>
          <w:color w:val="000000"/>
        </w:rPr>
        <w:t>Patients and their core support group should be given the opportunity to revisit their decision</w:t>
      </w:r>
      <w:r>
        <w:rPr>
          <w:color w:val="000000"/>
        </w:rPr>
        <w:t>-</w:t>
      </w:r>
      <w:r w:rsidRPr="00C2008E">
        <w:rPr>
          <w:color w:val="000000"/>
        </w:rPr>
        <w:t>making at any stage.</w:t>
      </w:r>
      <w:r>
        <w:rPr>
          <w:color w:val="000000"/>
        </w:rPr>
        <w:t xml:space="preserve"> We recognise that balance is needed between preserving patient choice and undermining it through continual revisiting decisions</w:t>
      </w:r>
      <w:r w:rsidRPr="006B4DD2">
        <w:rPr>
          <w:noProof/>
          <w:color w:val="000000"/>
          <w:vertAlign w:val="superscript"/>
        </w:rPr>
        <w:t>30</w:t>
      </w:r>
      <w:r>
        <w:rPr>
          <w:color w:val="000000"/>
        </w:rPr>
        <w:t>.</w:t>
      </w:r>
    </w:p>
    <w:p w14:paraId="15DC55DE" w14:textId="1C0F0809" w:rsidR="00A005CE" w:rsidRPr="00C2008E" w:rsidRDefault="00A005CE" w:rsidP="00A005CE">
      <w:pPr>
        <w:pStyle w:val="Heading4"/>
      </w:pPr>
      <w:bookmarkStart w:id="168" w:name="_Toc128330071"/>
      <w:r>
        <w:t>10.</w:t>
      </w:r>
      <w:r w:rsidR="001E391B">
        <w:t>5</w:t>
      </w:r>
      <w:r w:rsidRPr="00C2008E">
        <w:t>.1</w:t>
      </w:r>
      <w:r w:rsidRPr="00C2008E">
        <w:tab/>
      </w:r>
      <w:r w:rsidR="009E0472">
        <w:tab/>
      </w:r>
      <w:r w:rsidRPr="00C2008E">
        <w:t>Choice of dialysis modality</w:t>
      </w:r>
      <w:bookmarkEnd w:id="168"/>
    </w:p>
    <w:p w14:paraId="40D6D920" w14:textId="1C973B8A" w:rsidR="00A005CE" w:rsidRDefault="00A005CE" w:rsidP="00CB0C37">
      <w:pPr>
        <w:pBdr>
          <w:top w:val="nil"/>
          <w:left w:val="nil"/>
          <w:bottom w:val="nil"/>
          <w:right w:val="nil"/>
          <w:between w:val="nil"/>
        </w:pBdr>
        <w:spacing w:line="276" w:lineRule="auto"/>
        <w:jc w:val="both"/>
        <w:rPr>
          <w:color w:val="000000"/>
        </w:rPr>
      </w:pPr>
      <w:r w:rsidRPr="00C2008E">
        <w:rPr>
          <w:color w:val="000000"/>
        </w:rPr>
        <w:t xml:space="preserve">There is no compelling data to suggest </w:t>
      </w:r>
      <w:r w:rsidR="00850844">
        <w:rPr>
          <w:color w:val="000000"/>
        </w:rPr>
        <w:t xml:space="preserve">the </w:t>
      </w:r>
      <w:r w:rsidRPr="00C2008E">
        <w:rPr>
          <w:color w:val="000000"/>
        </w:rPr>
        <w:t>superiority of either dialysis modality in patients returning to dialysis after allograft failure</w:t>
      </w:r>
      <w:r w:rsidRPr="006B4DD2">
        <w:rPr>
          <w:noProof/>
          <w:color w:val="000000"/>
          <w:vertAlign w:val="superscript"/>
        </w:rPr>
        <w:t>31</w:t>
      </w:r>
      <w:r w:rsidRPr="00C2008E">
        <w:rPr>
          <w:color w:val="000000"/>
        </w:rPr>
        <w:t xml:space="preserve">. </w:t>
      </w:r>
      <w:r>
        <w:rPr>
          <w:color w:val="000000"/>
        </w:rPr>
        <w:t xml:space="preserve">There are similar outcomes reported for patients starting peritoneal </w:t>
      </w:r>
      <w:r>
        <w:rPr>
          <w:color w:val="000000"/>
        </w:rPr>
        <w:lastRenderedPageBreak/>
        <w:t xml:space="preserve">dialysis after </w:t>
      </w:r>
      <w:r w:rsidR="00850844">
        <w:rPr>
          <w:color w:val="000000"/>
        </w:rPr>
        <w:t xml:space="preserve">the </w:t>
      </w:r>
      <w:r>
        <w:rPr>
          <w:color w:val="000000"/>
        </w:rPr>
        <w:t>failure of their transplant compared to haemodialysis</w:t>
      </w:r>
      <w:r w:rsidRPr="006B4DD2">
        <w:rPr>
          <w:noProof/>
          <w:color w:val="000000"/>
          <w:vertAlign w:val="superscript"/>
        </w:rPr>
        <w:t>32</w:t>
      </w:r>
      <w:r w:rsidRPr="00C2008E">
        <w:rPr>
          <w:color w:val="000000"/>
        </w:rPr>
        <w:t>.</w:t>
      </w:r>
      <w:r>
        <w:rPr>
          <w:color w:val="000000"/>
        </w:rPr>
        <w:t xml:space="preserve"> </w:t>
      </w:r>
      <w:r w:rsidRPr="00C2008E">
        <w:rPr>
          <w:color w:val="000000"/>
        </w:rPr>
        <w:t xml:space="preserve">The choice of dialysis modality should be based on clinical characteristics and patient preference as for patients approaching </w:t>
      </w:r>
      <w:r>
        <w:rPr>
          <w:color w:val="000000"/>
        </w:rPr>
        <w:t>ESKD</w:t>
      </w:r>
      <w:r w:rsidRPr="00C2008E">
        <w:rPr>
          <w:color w:val="000000"/>
        </w:rPr>
        <w:t xml:space="preserve"> for the first time. Most patients </w:t>
      </w:r>
      <w:r>
        <w:rPr>
          <w:color w:val="000000"/>
        </w:rPr>
        <w:t>become</w:t>
      </w:r>
      <w:r w:rsidRPr="00C2008E">
        <w:rPr>
          <w:color w:val="000000"/>
        </w:rPr>
        <w:t xml:space="preserve"> established on haemodialysis</w:t>
      </w:r>
      <w:r w:rsidRPr="006B4DD2">
        <w:rPr>
          <w:noProof/>
          <w:color w:val="000000"/>
          <w:vertAlign w:val="superscript"/>
        </w:rPr>
        <w:t>33</w:t>
      </w:r>
      <w:r>
        <w:rPr>
          <w:color w:val="000000"/>
        </w:rPr>
        <w:t>.</w:t>
      </w:r>
    </w:p>
    <w:p w14:paraId="0D54724D" w14:textId="6BA6573C" w:rsidR="00A005CE" w:rsidRPr="00C2008E" w:rsidRDefault="00A005CE" w:rsidP="00CB0C37">
      <w:pPr>
        <w:pBdr>
          <w:top w:val="nil"/>
          <w:left w:val="nil"/>
          <w:bottom w:val="nil"/>
          <w:right w:val="nil"/>
          <w:between w:val="nil"/>
        </w:pBdr>
        <w:spacing w:line="276" w:lineRule="auto"/>
        <w:jc w:val="both"/>
        <w:rPr>
          <w:color w:val="000000"/>
        </w:rPr>
      </w:pPr>
      <w:r>
        <w:rPr>
          <w:color w:val="000000"/>
        </w:rPr>
        <w:t>Kidney Research UK has published a dialysis decision aid booklet which aims to support patients in deciding which dialysis treatment may fit their individual needs</w:t>
      </w:r>
      <w:r w:rsidRPr="006B4DD2">
        <w:rPr>
          <w:noProof/>
          <w:color w:val="000000"/>
          <w:vertAlign w:val="superscript"/>
        </w:rPr>
        <w:t>34</w:t>
      </w:r>
      <w:r>
        <w:rPr>
          <w:color w:val="000000"/>
        </w:rPr>
        <w:t xml:space="preserve">. Although this document does not provide specific information for patients who have received a </w:t>
      </w:r>
      <w:r w:rsidR="00850844">
        <w:rPr>
          <w:color w:val="000000"/>
        </w:rPr>
        <w:t>kidney</w:t>
      </w:r>
      <w:r>
        <w:rPr>
          <w:color w:val="000000"/>
        </w:rPr>
        <w:t xml:space="preserve"> transplant</w:t>
      </w:r>
      <w:r w:rsidR="00850844">
        <w:rPr>
          <w:color w:val="000000"/>
        </w:rPr>
        <w:t>,</w:t>
      </w:r>
      <w:r>
        <w:rPr>
          <w:color w:val="000000"/>
        </w:rPr>
        <w:t xml:space="preserve"> it may be useful to support their decision-making.</w:t>
      </w:r>
    </w:p>
    <w:p w14:paraId="7BB1A6FF" w14:textId="228F5DB6" w:rsidR="00A005CE" w:rsidRPr="00C2008E" w:rsidRDefault="00A005CE" w:rsidP="00A005CE">
      <w:pPr>
        <w:pStyle w:val="Heading4"/>
      </w:pPr>
      <w:bookmarkStart w:id="169" w:name="_Toc128330072"/>
      <w:r>
        <w:t>10.</w:t>
      </w:r>
      <w:r w:rsidR="001E391B">
        <w:t>5</w:t>
      </w:r>
      <w:r w:rsidRPr="00C2008E">
        <w:t>.2</w:t>
      </w:r>
      <w:r w:rsidRPr="00C2008E">
        <w:tab/>
      </w:r>
      <w:r w:rsidR="009E0472">
        <w:tab/>
      </w:r>
      <w:r w:rsidRPr="00C2008E">
        <w:t>Formation of dialysis access</w:t>
      </w:r>
      <w:bookmarkEnd w:id="169"/>
    </w:p>
    <w:p w14:paraId="69607939" w14:textId="41F5106D" w:rsidR="00A005CE" w:rsidRPr="00C2008E" w:rsidRDefault="00A005CE" w:rsidP="00CB0C37">
      <w:pPr>
        <w:pBdr>
          <w:top w:val="nil"/>
          <w:left w:val="nil"/>
          <w:bottom w:val="nil"/>
          <w:right w:val="nil"/>
          <w:between w:val="nil"/>
        </w:pBdr>
        <w:spacing w:line="276" w:lineRule="auto"/>
        <w:jc w:val="both"/>
        <w:rPr>
          <w:color w:val="000000"/>
        </w:rPr>
      </w:pPr>
      <w:r w:rsidRPr="00C2008E">
        <w:rPr>
          <w:color w:val="000000"/>
        </w:rPr>
        <w:t xml:space="preserve">The unpredictable decline in transplant </w:t>
      </w:r>
      <w:r w:rsidR="00850844">
        <w:rPr>
          <w:color w:val="000000"/>
        </w:rPr>
        <w:t>kidney</w:t>
      </w:r>
      <w:r w:rsidRPr="00C2008E">
        <w:rPr>
          <w:color w:val="000000"/>
        </w:rPr>
        <w:t xml:space="preserve"> function makes </w:t>
      </w:r>
      <w:r w:rsidR="00850844">
        <w:rPr>
          <w:color w:val="000000"/>
        </w:rPr>
        <w:t xml:space="preserve">the </w:t>
      </w:r>
      <w:r w:rsidRPr="00C2008E">
        <w:rPr>
          <w:color w:val="000000"/>
        </w:rPr>
        <w:t xml:space="preserve">timing of dialysis access placement more </w:t>
      </w:r>
      <w:r>
        <w:rPr>
          <w:color w:val="000000"/>
        </w:rPr>
        <w:t>challenging than for patients with progressive CKD</w:t>
      </w:r>
      <w:r w:rsidRPr="006B4DD2">
        <w:rPr>
          <w:noProof/>
          <w:color w:val="000000"/>
          <w:vertAlign w:val="superscript"/>
        </w:rPr>
        <w:t>6</w:t>
      </w:r>
      <w:r w:rsidRPr="00C2008E">
        <w:rPr>
          <w:color w:val="000000"/>
        </w:rPr>
        <w:t xml:space="preserve">. Patients with failing allografts are less likely to undergo dialysis planning leading to inpatient dialysis initiation </w:t>
      </w:r>
      <w:r>
        <w:rPr>
          <w:color w:val="000000"/>
        </w:rPr>
        <w:t xml:space="preserve">with </w:t>
      </w:r>
      <w:r w:rsidRPr="00C2008E">
        <w:rPr>
          <w:color w:val="000000"/>
        </w:rPr>
        <w:t>associated increased mortality</w:t>
      </w:r>
      <w:r>
        <w:rPr>
          <w:color w:val="000000"/>
        </w:rPr>
        <w:t xml:space="preserve"> risk</w:t>
      </w:r>
      <w:r w:rsidRPr="006B4DD2">
        <w:rPr>
          <w:noProof/>
          <w:color w:val="000000"/>
          <w:vertAlign w:val="superscript"/>
        </w:rPr>
        <w:t>15, 35</w:t>
      </w:r>
      <w:r w:rsidRPr="00C2008E">
        <w:rPr>
          <w:color w:val="000000"/>
        </w:rPr>
        <w:t>.</w:t>
      </w:r>
    </w:p>
    <w:p w14:paraId="351771D3" w14:textId="5B5BF7E9" w:rsidR="00A005CE" w:rsidRPr="00C370A9" w:rsidRDefault="00A005CE" w:rsidP="00CB0C37">
      <w:pPr>
        <w:pBdr>
          <w:top w:val="nil"/>
          <w:left w:val="nil"/>
          <w:bottom w:val="nil"/>
          <w:right w:val="nil"/>
          <w:between w:val="nil"/>
        </w:pBdr>
        <w:spacing w:line="276" w:lineRule="auto"/>
        <w:jc w:val="both"/>
        <w:rPr>
          <w:color w:val="000000"/>
        </w:rPr>
      </w:pPr>
      <w:r w:rsidRPr="00C2008E">
        <w:rPr>
          <w:color w:val="000000"/>
        </w:rPr>
        <w:t>Prior arteriovenous access is unlikely to have remained patent</w:t>
      </w:r>
      <w:r>
        <w:rPr>
          <w:color w:val="000000"/>
        </w:rPr>
        <w:t>.</w:t>
      </w:r>
      <w:r w:rsidRPr="00C2008E">
        <w:rPr>
          <w:color w:val="000000"/>
        </w:rPr>
        <w:t xml:space="preserve"> </w:t>
      </w:r>
      <w:r>
        <w:rPr>
          <w:color w:val="000000"/>
        </w:rPr>
        <w:t>F</w:t>
      </w:r>
      <w:r w:rsidRPr="00C2008E">
        <w:rPr>
          <w:color w:val="000000"/>
        </w:rPr>
        <w:t xml:space="preserve">ormation of </w:t>
      </w:r>
      <w:r>
        <w:rPr>
          <w:color w:val="000000"/>
        </w:rPr>
        <w:t>haemo</w:t>
      </w:r>
      <w:r w:rsidRPr="00C2008E">
        <w:rPr>
          <w:color w:val="000000"/>
        </w:rPr>
        <w:t>dialysis access should comply with the UK</w:t>
      </w:r>
      <w:r>
        <w:rPr>
          <w:color w:val="000000"/>
        </w:rPr>
        <w:t>KA</w:t>
      </w:r>
      <w:r w:rsidRPr="00C2008E">
        <w:rPr>
          <w:color w:val="000000"/>
        </w:rPr>
        <w:t xml:space="preserve"> guidance, “Vascular access for haemodialysis”, which recommends </w:t>
      </w:r>
      <w:r w:rsidR="00850844">
        <w:rPr>
          <w:color w:val="000000"/>
        </w:rPr>
        <w:t xml:space="preserve">the </w:t>
      </w:r>
      <w:r w:rsidRPr="00C2008E">
        <w:rPr>
          <w:color w:val="000000"/>
        </w:rPr>
        <w:t xml:space="preserve">formation of an arteriovenous fistula </w:t>
      </w:r>
      <w:r>
        <w:rPr>
          <w:color w:val="000000"/>
        </w:rPr>
        <w:t xml:space="preserve">between three and 12 months </w:t>
      </w:r>
      <w:r w:rsidRPr="00C2008E">
        <w:rPr>
          <w:color w:val="000000"/>
        </w:rPr>
        <w:t xml:space="preserve">prior to the expected initiation date. This does not extend to prosthetic grafts which do not require prolonged maturation </w:t>
      </w:r>
      <w:r w:rsidR="00850844">
        <w:rPr>
          <w:color w:val="000000"/>
        </w:rPr>
        <w:t>and</w:t>
      </w:r>
      <w:r w:rsidRPr="00C2008E">
        <w:rPr>
          <w:color w:val="000000"/>
        </w:rPr>
        <w:t xml:space="preserve"> can be delayed until closer to the expected date of initiation</w:t>
      </w:r>
      <w:r w:rsidRPr="006B4DD2">
        <w:rPr>
          <w:noProof/>
          <w:color w:val="000000"/>
          <w:vertAlign w:val="superscript"/>
        </w:rPr>
        <w:t>36</w:t>
      </w:r>
      <w:r w:rsidRPr="00C2008E">
        <w:rPr>
          <w:color w:val="000000"/>
        </w:rPr>
        <w:t>. There is no s</w:t>
      </w:r>
      <w:r>
        <w:rPr>
          <w:color w:val="000000"/>
        </w:rPr>
        <w:t>pecific</w:t>
      </w:r>
      <w:r w:rsidRPr="00C2008E">
        <w:rPr>
          <w:color w:val="000000"/>
        </w:rPr>
        <w:t xml:space="preserve"> evidence for the timing of peritoneal catheter insertion in patients with failing kidney allografts. We suggest following ISPD </w:t>
      </w:r>
      <w:r>
        <w:rPr>
          <w:color w:val="000000"/>
        </w:rPr>
        <w:t xml:space="preserve">and UKKA </w:t>
      </w:r>
      <w:r w:rsidRPr="00C2008E">
        <w:rPr>
          <w:color w:val="000000"/>
        </w:rPr>
        <w:t>guidance that catheter implantation should be performed at least two weeks before elective PD initiation</w:t>
      </w:r>
      <w:r w:rsidRPr="006B4DD2">
        <w:rPr>
          <w:noProof/>
          <w:color w:val="000000"/>
          <w:vertAlign w:val="superscript"/>
        </w:rPr>
        <w:t>37</w:t>
      </w:r>
      <w:r w:rsidRPr="00C2008E">
        <w:rPr>
          <w:color w:val="000000"/>
        </w:rPr>
        <w:t xml:space="preserve">. </w:t>
      </w:r>
    </w:p>
    <w:p w14:paraId="5F7677A1" w14:textId="44E9521D" w:rsidR="00A005CE" w:rsidRPr="00C2008E" w:rsidRDefault="00A005CE" w:rsidP="00A005CE">
      <w:pPr>
        <w:pStyle w:val="Heading4"/>
      </w:pPr>
      <w:bookmarkStart w:id="170" w:name="_Toc128330073"/>
      <w:r>
        <w:t>10.</w:t>
      </w:r>
      <w:r w:rsidR="001E391B">
        <w:t>5</w:t>
      </w:r>
      <w:r w:rsidRPr="00C2008E">
        <w:t>.3</w:t>
      </w:r>
      <w:r w:rsidRPr="00C2008E">
        <w:tab/>
      </w:r>
      <w:r w:rsidR="009E0472">
        <w:tab/>
      </w:r>
      <w:r w:rsidRPr="00C2008E">
        <w:t>Initiation of dialysis</w:t>
      </w:r>
      <w:bookmarkEnd w:id="170"/>
      <w:r w:rsidRPr="00C2008E">
        <w:t xml:space="preserve"> </w:t>
      </w:r>
    </w:p>
    <w:p w14:paraId="5ED83C5E" w14:textId="77777777" w:rsidR="00A005CE" w:rsidRPr="00C370A9" w:rsidRDefault="00A005CE" w:rsidP="00CB0C37">
      <w:pPr>
        <w:pBdr>
          <w:top w:val="nil"/>
          <w:left w:val="nil"/>
          <w:bottom w:val="nil"/>
          <w:right w:val="nil"/>
          <w:between w:val="nil"/>
        </w:pBdr>
        <w:spacing w:line="276" w:lineRule="auto"/>
        <w:jc w:val="both"/>
        <w:rPr>
          <w:color w:val="000000"/>
        </w:rPr>
      </w:pPr>
      <w:r w:rsidRPr="00C2008E">
        <w:rPr>
          <w:color w:val="000000"/>
        </w:rPr>
        <w:t>Studies on the optimal timing of dialysis re</w:t>
      </w:r>
      <w:r>
        <w:rPr>
          <w:color w:val="000000"/>
        </w:rPr>
        <w:t>-</w:t>
      </w:r>
      <w:r w:rsidRPr="00C2008E">
        <w:rPr>
          <w:color w:val="000000"/>
        </w:rPr>
        <w:t>initiation following a failed transplant are limited and often conflicting</w:t>
      </w:r>
      <w:r w:rsidRPr="006B4DD2">
        <w:rPr>
          <w:noProof/>
          <w:color w:val="000000"/>
          <w:vertAlign w:val="superscript"/>
        </w:rPr>
        <w:t>38</w:t>
      </w:r>
      <w:r w:rsidRPr="00C2008E">
        <w:rPr>
          <w:color w:val="000000"/>
        </w:rPr>
        <w:t>. We suggest that the timing of dialysis initiation should be based on clinical factors and symptoms related to CKD progression rather than eGFR alone</w:t>
      </w:r>
      <w:r w:rsidRPr="006B4DD2">
        <w:rPr>
          <w:noProof/>
          <w:color w:val="000000"/>
          <w:vertAlign w:val="superscript"/>
        </w:rPr>
        <w:t>39</w:t>
      </w:r>
      <w:r w:rsidRPr="00C2008E">
        <w:rPr>
          <w:color w:val="000000"/>
        </w:rPr>
        <w:t xml:space="preserve">. </w:t>
      </w:r>
    </w:p>
    <w:p w14:paraId="2890DD08" w14:textId="0A7BA9CA" w:rsidR="00A005CE" w:rsidRPr="00C2008E" w:rsidRDefault="00A005CE" w:rsidP="00A005CE">
      <w:pPr>
        <w:pStyle w:val="Heading4"/>
      </w:pPr>
      <w:bookmarkStart w:id="171" w:name="_Toc128330074"/>
      <w:r>
        <w:t>10.</w:t>
      </w:r>
      <w:r w:rsidR="001E391B">
        <w:t>5</w:t>
      </w:r>
      <w:r w:rsidRPr="00C2008E">
        <w:t>.4</w:t>
      </w:r>
      <w:r w:rsidRPr="00C2008E">
        <w:tab/>
      </w:r>
      <w:r w:rsidR="009E0472">
        <w:tab/>
      </w:r>
      <w:r w:rsidRPr="00C2008E">
        <w:t>Conservative management</w:t>
      </w:r>
      <w:bookmarkEnd w:id="171"/>
      <w:r w:rsidRPr="00C2008E">
        <w:t xml:space="preserve"> </w:t>
      </w:r>
    </w:p>
    <w:p w14:paraId="587C518C" w14:textId="1FFC0B1B" w:rsidR="00A005CE" w:rsidRPr="00DD7D85" w:rsidRDefault="00A005CE" w:rsidP="00514677">
      <w:pPr>
        <w:spacing w:line="276" w:lineRule="auto"/>
        <w:jc w:val="both"/>
      </w:pPr>
      <w:r w:rsidRPr="00DD7D85">
        <w:t xml:space="preserve">Patients with failing kidney transplants should be offered the choice of conservative management in a similar manner to transplant-naïve patients. It is important to ensure decisions for conservative management between the patient and healthcare team </w:t>
      </w:r>
      <w:r w:rsidR="009E0472" w:rsidRPr="00DD7D85">
        <w:t>consider</w:t>
      </w:r>
      <w:r w:rsidRPr="00DD7D85">
        <w:t xml:space="preserve"> the predicted quality of life, predicted life expectancy, </w:t>
      </w:r>
      <w:proofErr w:type="gramStart"/>
      <w:r w:rsidRPr="00DD7D85">
        <w:t>comorbidities</w:t>
      </w:r>
      <w:proofErr w:type="gramEnd"/>
      <w:r w:rsidRPr="00DD7D85">
        <w:t xml:space="preserve"> and care preferences. </w:t>
      </w:r>
    </w:p>
    <w:p w14:paraId="3451594D" w14:textId="77777777" w:rsidR="00A005CE" w:rsidRPr="00DD7D85" w:rsidRDefault="00A005CE" w:rsidP="00514677">
      <w:pPr>
        <w:spacing w:line="276" w:lineRule="auto"/>
        <w:jc w:val="both"/>
        <w:rPr>
          <w:i/>
          <w:iCs/>
        </w:rPr>
      </w:pPr>
      <w:r w:rsidRPr="00DD7D85">
        <w:t>In patients undergoing conservative management</w:t>
      </w:r>
      <w:r>
        <w:t>,</w:t>
      </w:r>
      <w:r w:rsidRPr="00DD7D85">
        <w:t xml:space="preserve"> it is important to consider balancing the preservation of residual renal function</w:t>
      </w:r>
      <w:r>
        <w:t>,</w:t>
      </w:r>
      <w:r w:rsidRPr="00DD7D85">
        <w:t xml:space="preserve"> </w:t>
      </w:r>
      <w:proofErr w:type="gramStart"/>
      <w:r w:rsidRPr="00DD7D85">
        <w:t>side-effects</w:t>
      </w:r>
      <w:proofErr w:type="gramEnd"/>
      <w:r>
        <w:t xml:space="preserve"> and</w:t>
      </w:r>
      <w:r w:rsidRPr="00DD7D85">
        <w:t xml:space="preserve"> pill-burden of immunosuppressive therapy. In this situation, it is appropriate to adjust immunosuppression to minimise any side-effects (see Chapter 2, Management of Immunosuppression). </w:t>
      </w:r>
    </w:p>
    <w:p w14:paraId="1B5394FA" w14:textId="78EF4D29" w:rsidR="00A005CE" w:rsidRPr="00C2008E" w:rsidRDefault="00A005CE" w:rsidP="00A005CE">
      <w:pPr>
        <w:pStyle w:val="Heading4"/>
      </w:pPr>
      <w:bookmarkStart w:id="172" w:name="_Toc128330075"/>
      <w:r>
        <w:t>10.</w:t>
      </w:r>
      <w:r w:rsidR="001E391B">
        <w:t>5</w:t>
      </w:r>
      <w:r>
        <w:t>.5</w:t>
      </w:r>
      <w:r w:rsidRPr="00DC4E5D">
        <w:tab/>
      </w:r>
      <w:r w:rsidR="009E0472">
        <w:tab/>
      </w:r>
      <w:r w:rsidRPr="00DC4E5D">
        <w:t>Referral to Palliative Care Services</w:t>
      </w:r>
      <w:bookmarkEnd w:id="172"/>
      <w:r w:rsidRPr="00DC4E5D">
        <w:t xml:space="preserve"> </w:t>
      </w:r>
      <w:r w:rsidRPr="00C2008E">
        <w:t xml:space="preserve"> </w:t>
      </w:r>
    </w:p>
    <w:p w14:paraId="70870BF7" w14:textId="789F4818" w:rsidR="00A005CE" w:rsidRDefault="00A005CE" w:rsidP="00CB0C37">
      <w:pPr>
        <w:spacing w:line="276" w:lineRule="auto"/>
        <w:jc w:val="both"/>
      </w:pPr>
      <w:r>
        <w:t xml:space="preserve">If a patient has chosen conservative management, the need for supportive and palliative care input should be assessed. This may include a formal </w:t>
      </w:r>
      <w:r w:rsidRPr="00C2008E">
        <w:t xml:space="preserve">Psychosocial Needs </w:t>
      </w:r>
      <w:r>
        <w:t>A</w:t>
      </w:r>
      <w:r w:rsidRPr="00C2008E">
        <w:t>ssessment</w:t>
      </w:r>
      <w:r w:rsidR="00CB0C37">
        <w:t xml:space="preserve"> as outlined in Section 4</w:t>
      </w:r>
      <w:r w:rsidRPr="00C2008E">
        <w:t xml:space="preserve"> to determine the presence of distress, anxiety or depression </w:t>
      </w:r>
      <w:r>
        <w:t xml:space="preserve">as confounders influencing an </w:t>
      </w:r>
      <w:r w:rsidRPr="00C2008E">
        <w:t xml:space="preserve">individual’s reluctance to pursue active treatment/RRT. </w:t>
      </w:r>
      <w:r>
        <w:t>Some patients may benefit from referral to psychosocial practitioners prior to or in conjunction with palliative care referral</w:t>
      </w:r>
      <w:r w:rsidRPr="006B4DD2">
        <w:rPr>
          <w:noProof/>
          <w:vertAlign w:val="superscript"/>
        </w:rPr>
        <w:t>11</w:t>
      </w:r>
      <w:r w:rsidRPr="00C2008E">
        <w:t>.</w:t>
      </w:r>
      <w:r>
        <w:t xml:space="preserve"> </w:t>
      </w:r>
      <w:r w:rsidRPr="00C2008E">
        <w:rPr>
          <w:color w:val="000000"/>
        </w:rPr>
        <w:t>When considering referral to palliative care it is important to explain the role of palliative care services to patients and their core support group.</w:t>
      </w:r>
    </w:p>
    <w:p w14:paraId="07E2F812" w14:textId="7562C3C0" w:rsidR="00A005CE" w:rsidRDefault="00A005CE" w:rsidP="00CB0C37">
      <w:pPr>
        <w:spacing w:line="276" w:lineRule="auto"/>
        <w:jc w:val="both"/>
      </w:pPr>
      <w:r>
        <w:lastRenderedPageBreak/>
        <w:t>The Gold Standards Framework may be used to (1) identify people needing special care and referral to palliative care services; (2) assess and record their needs; (3) plan and provide care accordingly</w:t>
      </w:r>
      <w:r w:rsidRPr="006B4DD2">
        <w:rPr>
          <w:noProof/>
          <w:vertAlign w:val="superscript"/>
        </w:rPr>
        <w:t>40-42</w:t>
      </w:r>
      <w:r>
        <w:t xml:space="preserve">. </w:t>
      </w:r>
    </w:p>
    <w:p w14:paraId="29538F66" w14:textId="2D68F2D9" w:rsidR="00A005CE" w:rsidRPr="00A005CE" w:rsidRDefault="00A005CE" w:rsidP="00A005CE">
      <w:pPr>
        <w:pStyle w:val="Heading2"/>
      </w:pPr>
      <w:bookmarkStart w:id="173" w:name="_Toc128330076"/>
      <w:r>
        <w:t>References</w:t>
      </w:r>
      <w:bookmarkEnd w:id="173"/>
    </w:p>
    <w:p w14:paraId="05B11320" w14:textId="77777777" w:rsidR="00A005CE" w:rsidRPr="006B4DD2" w:rsidRDefault="00A005CE" w:rsidP="00A005CE">
      <w:pPr>
        <w:pStyle w:val="EndNoteBibliography"/>
        <w:spacing w:after="0" w:line="276" w:lineRule="auto"/>
      </w:pPr>
      <w:r w:rsidRPr="006B4DD2">
        <w:t>1.</w:t>
      </w:r>
      <w:r w:rsidRPr="006B4DD2">
        <w:tab/>
        <w:t>Farrington K, Warwick G. Renal Association Clinical Practice Guideline on planning, initiating and withdrawal of renal replacement therapy. Nephron Clin Pract. 2011;118 Suppl 1:c189-208.</w:t>
      </w:r>
    </w:p>
    <w:p w14:paraId="753768A5" w14:textId="77777777" w:rsidR="00A005CE" w:rsidRPr="006B4DD2" w:rsidRDefault="00A005CE" w:rsidP="00A005CE">
      <w:pPr>
        <w:pStyle w:val="EndNoteBibliography"/>
        <w:spacing w:after="0" w:line="276" w:lineRule="auto"/>
      </w:pPr>
      <w:r w:rsidRPr="006B4DD2">
        <w:t>2.</w:t>
      </w:r>
      <w:r w:rsidRPr="006B4DD2">
        <w:tab/>
        <w:t>Dudley C, Harden P. Renal Association Clinical Practice Guideline on the assessment of the potential kidney transplant recipient. Nephron Clin Pract. 2011;118 Suppl 1:c209-24.</w:t>
      </w:r>
    </w:p>
    <w:p w14:paraId="69B680B8" w14:textId="77777777" w:rsidR="00A005CE" w:rsidRPr="006B4DD2" w:rsidRDefault="00A005CE" w:rsidP="00A005CE">
      <w:pPr>
        <w:pStyle w:val="EndNoteBibliography"/>
        <w:spacing w:after="0" w:line="276" w:lineRule="auto"/>
      </w:pPr>
      <w:r w:rsidRPr="006B4DD2">
        <w:t>3.</w:t>
      </w:r>
      <w:r w:rsidRPr="006B4DD2">
        <w:tab/>
        <w:t>Kochar GS, Langone AJ. How Should We Manage Renal Transplant Patients with Failed Allografts Who Return to Dialysis? Blood Purif. 2020;49(1-2):228-31.</w:t>
      </w:r>
    </w:p>
    <w:p w14:paraId="1974F993" w14:textId="77777777" w:rsidR="00A005CE" w:rsidRPr="006B4DD2" w:rsidRDefault="00A005CE" w:rsidP="00A005CE">
      <w:pPr>
        <w:pStyle w:val="EndNoteBibliography"/>
        <w:spacing w:after="0" w:line="276" w:lineRule="auto"/>
      </w:pPr>
      <w:r w:rsidRPr="006B4DD2">
        <w:t>4.</w:t>
      </w:r>
      <w:r w:rsidRPr="006B4DD2">
        <w:tab/>
        <w:t>National Institute for Health and Care Excellence (NICE). Chronic kidney disease: assessment and management [NG203]. 2021.</w:t>
      </w:r>
    </w:p>
    <w:p w14:paraId="37973101" w14:textId="77777777" w:rsidR="00A005CE" w:rsidRPr="006B4DD2" w:rsidRDefault="00A005CE" w:rsidP="00A005CE">
      <w:pPr>
        <w:pStyle w:val="EndNoteBibliography"/>
        <w:spacing w:after="0" w:line="276" w:lineRule="auto"/>
      </w:pPr>
      <w:r w:rsidRPr="006B4DD2">
        <w:t>5.</w:t>
      </w:r>
      <w:r w:rsidRPr="006B4DD2">
        <w:tab/>
        <w:t>Stacey D, Legare F, Lewis K, Barry MJ, Bennett CL, Eden KB, et al. Decision aids for people facing health treatment or screening decisions. Cochrane Database Syst Rev. 2017;4(4):CD001431.</w:t>
      </w:r>
    </w:p>
    <w:p w14:paraId="3E3FBA78" w14:textId="77777777" w:rsidR="00A005CE" w:rsidRPr="006B4DD2" w:rsidRDefault="00A005CE" w:rsidP="00A005CE">
      <w:pPr>
        <w:pStyle w:val="EndNoteBibliography"/>
        <w:spacing w:after="0" w:line="276" w:lineRule="auto"/>
      </w:pPr>
      <w:r w:rsidRPr="006B4DD2">
        <w:t>6.</w:t>
      </w:r>
      <w:r w:rsidRPr="006B4DD2">
        <w:tab/>
        <w:t>Sleiman J, Garrigue V, Vetromile F, Mourad G. Return to dialysis after renal allograft loss: is dialysis treatment initiated too late? Transplant Proc. 2007;39(8):2597-8.</w:t>
      </w:r>
    </w:p>
    <w:p w14:paraId="2DE175E5" w14:textId="77777777" w:rsidR="00A005CE" w:rsidRPr="006B4DD2" w:rsidRDefault="00A005CE" w:rsidP="00A005CE">
      <w:pPr>
        <w:pStyle w:val="EndNoteBibliography"/>
        <w:spacing w:after="0" w:line="276" w:lineRule="auto"/>
      </w:pPr>
      <w:r w:rsidRPr="006B4DD2">
        <w:t>7.</w:t>
      </w:r>
      <w:r w:rsidRPr="006B4DD2">
        <w:tab/>
        <w:t>National Institute for Health and Care Excellence (NICE). Shared decision making [NG197]. 2021.</w:t>
      </w:r>
    </w:p>
    <w:p w14:paraId="3D74A609" w14:textId="77777777" w:rsidR="00A005CE" w:rsidRPr="006B4DD2" w:rsidRDefault="00A005CE" w:rsidP="00A005CE">
      <w:pPr>
        <w:pStyle w:val="EndNoteBibliography"/>
        <w:spacing w:after="0" w:line="276" w:lineRule="auto"/>
      </w:pPr>
      <w:r w:rsidRPr="006B4DD2">
        <w:t>8.</w:t>
      </w:r>
      <w:r w:rsidRPr="006B4DD2">
        <w:tab/>
        <w:t>Butler CR. A Critical Role for Shared Decision-Making about Referral and Evaluation for Kidney Transplant. Kidney360. 2022;3(1):14-6.</w:t>
      </w:r>
    </w:p>
    <w:p w14:paraId="3F128AED" w14:textId="77777777" w:rsidR="00A005CE" w:rsidRPr="006B4DD2" w:rsidRDefault="00A005CE" w:rsidP="00A005CE">
      <w:pPr>
        <w:pStyle w:val="EndNoteBibliography"/>
        <w:spacing w:after="0" w:line="276" w:lineRule="auto"/>
      </w:pPr>
      <w:r w:rsidRPr="006B4DD2">
        <w:t>9.</w:t>
      </w:r>
      <w:r w:rsidRPr="006B4DD2">
        <w:tab/>
        <w:t>Amir N, McCarthy HJ, Tong A. A working partnership: A review of shared decision-making in nephrology. Nephrology (Carlton). 2021;26(11):851-7.</w:t>
      </w:r>
    </w:p>
    <w:p w14:paraId="45686FE7" w14:textId="77777777" w:rsidR="00A005CE" w:rsidRPr="006B4DD2" w:rsidRDefault="00A005CE" w:rsidP="00A005CE">
      <w:pPr>
        <w:pStyle w:val="EndNoteBibliography"/>
        <w:spacing w:after="0" w:line="276" w:lineRule="auto"/>
      </w:pPr>
      <w:r w:rsidRPr="006B4DD2">
        <w:t>10.</w:t>
      </w:r>
      <w:r w:rsidRPr="006B4DD2">
        <w:tab/>
        <w:t>Ucar AR, Demir E, Sever MS. Transplant Patients With Failing Renal Allografts. Exp Clin Transplant. 2018;16 Suppl 1(Suppl 1):4-8.</w:t>
      </w:r>
    </w:p>
    <w:p w14:paraId="5299C789" w14:textId="77777777" w:rsidR="00A005CE" w:rsidRPr="006B4DD2" w:rsidRDefault="00A005CE" w:rsidP="00A005CE">
      <w:pPr>
        <w:pStyle w:val="EndNoteBibliography"/>
        <w:spacing w:after="0" w:line="276" w:lineRule="auto"/>
      </w:pPr>
      <w:r w:rsidRPr="006B4DD2">
        <w:t>11.</w:t>
      </w:r>
      <w:r w:rsidRPr="006B4DD2">
        <w:tab/>
        <w:t>Rainer JP, Thompson CH, Lambros H. Psychological and psychosocial aspects of the solid organ transplant experience--a practice review. Psychotherapy (Chic). 2010;47(3):403-12.</w:t>
      </w:r>
    </w:p>
    <w:p w14:paraId="7088ABB5" w14:textId="77777777" w:rsidR="00A005CE" w:rsidRPr="006B4DD2" w:rsidRDefault="00A005CE" w:rsidP="00A005CE">
      <w:pPr>
        <w:pStyle w:val="EndNoteBibliography"/>
        <w:spacing w:after="0" w:line="276" w:lineRule="auto"/>
      </w:pPr>
      <w:r w:rsidRPr="006B4DD2">
        <w:t>12.</w:t>
      </w:r>
      <w:r w:rsidRPr="006B4DD2">
        <w:tab/>
        <w:t xml:space="preserve">Oncology Nursing Society. Instructional Manual - Instructions for Patient Health Questionnaire (PHQ) and GAD-7 Measures Unknown [Available from: </w:t>
      </w:r>
      <w:r w:rsidRPr="003C2D3D">
        <w:t>https://www.ons.org/sites/default/files/PHQandGAD7_InstructionManual.pdf</w:t>
      </w:r>
      <w:r w:rsidRPr="006B4DD2">
        <w:t>.</w:t>
      </w:r>
    </w:p>
    <w:p w14:paraId="46302FE5" w14:textId="77777777" w:rsidR="00A005CE" w:rsidRPr="006B4DD2" w:rsidRDefault="00A005CE" w:rsidP="00A005CE">
      <w:pPr>
        <w:pStyle w:val="EndNoteBibliography"/>
        <w:spacing w:after="0" w:line="276" w:lineRule="auto"/>
      </w:pPr>
      <w:r w:rsidRPr="006B4DD2">
        <w:t>13.</w:t>
      </w:r>
      <w:r w:rsidRPr="006B4DD2">
        <w:tab/>
        <w:t xml:space="preserve">Garrubba M. Use of Distress Thermometers in settings outside of oncology 2019 [Available from: </w:t>
      </w:r>
      <w:r w:rsidRPr="003C2D3D">
        <w:t>https://monashhealth.org/wp-content/uploads/2020/03/Distress-Thermometer_use-in-non-oncology-setting_evidence-snapshot.pdf</w:t>
      </w:r>
      <w:r w:rsidRPr="006B4DD2">
        <w:t>.</w:t>
      </w:r>
    </w:p>
    <w:p w14:paraId="41AA48D2" w14:textId="77777777" w:rsidR="00A005CE" w:rsidRPr="006B4DD2" w:rsidRDefault="00A005CE" w:rsidP="00A005CE">
      <w:pPr>
        <w:pStyle w:val="EndNoteBibliography"/>
        <w:spacing w:after="0" w:line="276" w:lineRule="auto"/>
      </w:pPr>
      <w:r w:rsidRPr="006B4DD2">
        <w:t>14.</w:t>
      </w:r>
      <w:r w:rsidRPr="006B4DD2">
        <w:tab/>
        <w:t>Marks I. Behavioural psychotherapy in general psychiatry. Helping patients to help themselves. Br J Psychiatry. 1987;150:593-7.</w:t>
      </w:r>
    </w:p>
    <w:p w14:paraId="3CB877F5" w14:textId="77777777" w:rsidR="00A005CE" w:rsidRPr="006B4DD2" w:rsidRDefault="00A005CE" w:rsidP="00A005CE">
      <w:pPr>
        <w:pStyle w:val="EndNoteBibliography"/>
        <w:spacing w:after="0" w:line="276" w:lineRule="auto"/>
      </w:pPr>
      <w:r w:rsidRPr="006B4DD2">
        <w:t>15.</w:t>
      </w:r>
      <w:r w:rsidRPr="006B4DD2">
        <w:tab/>
        <w:t>Chan MR, Oza-Gajera B, Chapla K, Djamali AX, Muth BL, Turk J, et al. Initial vascular access type in patients with a failed renal transplant. Clin J Am Soc Nephrol. 2014;9(7):1225-31.</w:t>
      </w:r>
    </w:p>
    <w:p w14:paraId="0BDEB96A" w14:textId="77777777" w:rsidR="00A005CE" w:rsidRPr="006B4DD2" w:rsidRDefault="00A005CE" w:rsidP="00A005CE">
      <w:pPr>
        <w:pStyle w:val="EndNoteBibliography"/>
        <w:spacing w:after="0" w:line="276" w:lineRule="auto"/>
      </w:pPr>
      <w:r w:rsidRPr="006B4DD2">
        <w:t>16.</w:t>
      </w:r>
      <w:r w:rsidRPr="006B4DD2">
        <w:tab/>
        <w:t>Ponticelli C, Favi E. Physical Inactivity: A Modifiable Risk Factor for Morbidity and Mortality in Kidney Transplantation. J Pers Med. 2021;11(9).</w:t>
      </w:r>
    </w:p>
    <w:p w14:paraId="7A7BCEF4" w14:textId="77777777" w:rsidR="00A005CE" w:rsidRPr="006B4DD2" w:rsidRDefault="00A005CE" w:rsidP="00A005CE">
      <w:pPr>
        <w:pStyle w:val="EndNoteBibliography"/>
        <w:spacing w:after="0" w:line="276" w:lineRule="auto"/>
      </w:pPr>
      <w:r w:rsidRPr="006B4DD2">
        <w:t>17.</w:t>
      </w:r>
      <w:r w:rsidRPr="006B4DD2">
        <w:tab/>
        <w:t>Kidney Disease: Improving Global Outcomes Diabetes Work G. KDIGO 2020 Clinical Practice Guideline for Diabetes Management in Chronic Kidney Disease. Kidney Int. 2020;98(4S):S1-S115.</w:t>
      </w:r>
    </w:p>
    <w:p w14:paraId="7ABF505C" w14:textId="77777777" w:rsidR="00A005CE" w:rsidRPr="006B4DD2" w:rsidRDefault="00A005CE" w:rsidP="00A005CE">
      <w:pPr>
        <w:pStyle w:val="EndNoteBibliography"/>
        <w:spacing w:after="0" w:line="276" w:lineRule="auto"/>
      </w:pPr>
      <w:r w:rsidRPr="006B4DD2">
        <w:t>18.</w:t>
      </w:r>
      <w:r w:rsidRPr="006B4DD2">
        <w:tab/>
        <w:t>Gill JS, Tonelli M, Mix CH, Pereira BJ. The change in allograft function among long-term kidney transplant recipients. J Am Soc Nephrol. 2003;14(6):1636-42.</w:t>
      </w:r>
    </w:p>
    <w:p w14:paraId="187AE504" w14:textId="77777777" w:rsidR="00A005CE" w:rsidRPr="006B4DD2" w:rsidRDefault="00A005CE" w:rsidP="00A005CE">
      <w:pPr>
        <w:pStyle w:val="EndNoteBibliography"/>
        <w:spacing w:after="0" w:line="276" w:lineRule="auto"/>
      </w:pPr>
      <w:r w:rsidRPr="006B4DD2">
        <w:t>19.</w:t>
      </w:r>
      <w:r w:rsidRPr="006B4DD2">
        <w:tab/>
        <w:t>Mallamaci F, Pisano A, Tripepi G. Physical activity in chronic kidney disease and the EXerCise Introduction To Enhance trial. Nephrol Dial Transplant. 2020;35(Suppl 2):ii18-ii22.</w:t>
      </w:r>
    </w:p>
    <w:p w14:paraId="3DB08D37" w14:textId="77777777" w:rsidR="00A005CE" w:rsidRPr="006B4DD2" w:rsidRDefault="00A005CE" w:rsidP="00A005CE">
      <w:pPr>
        <w:pStyle w:val="EndNoteBibliography"/>
        <w:spacing w:after="0" w:line="276" w:lineRule="auto"/>
      </w:pPr>
      <w:r w:rsidRPr="006B4DD2">
        <w:t>20.</w:t>
      </w:r>
      <w:r w:rsidRPr="006B4DD2">
        <w:tab/>
        <w:t>Knectle SJ M, L. P., &amp; Morris, P.,. Kidney Transplantation - Principles and Practice. . 8th ed2019.</w:t>
      </w:r>
    </w:p>
    <w:p w14:paraId="39264AC0" w14:textId="77777777" w:rsidR="00A005CE" w:rsidRPr="006B4DD2" w:rsidRDefault="00A005CE" w:rsidP="00A005CE">
      <w:pPr>
        <w:pStyle w:val="EndNoteBibliography"/>
        <w:spacing w:after="0" w:line="276" w:lineRule="auto"/>
      </w:pPr>
      <w:r w:rsidRPr="006B4DD2">
        <w:lastRenderedPageBreak/>
        <w:t>21.</w:t>
      </w:r>
      <w:r w:rsidRPr="006B4DD2">
        <w:tab/>
        <w:t>Ojo A, Wolfe RA, Agodoa LY, Held PJ, Port FK, Leavey SF, et al. Prognosis after primary renal transplant failure and the beneficial effects of repeat transplantation: multivariate analyses from the United States Renal Data System. Transplantation. 1998;66(12):1651-9.</w:t>
      </w:r>
    </w:p>
    <w:p w14:paraId="0D0E8471" w14:textId="77777777" w:rsidR="00A005CE" w:rsidRPr="006B4DD2" w:rsidRDefault="00A005CE" w:rsidP="00A005CE">
      <w:pPr>
        <w:pStyle w:val="EndNoteBibliography"/>
        <w:spacing w:after="0" w:line="276" w:lineRule="auto"/>
      </w:pPr>
      <w:r w:rsidRPr="006B4DD2">
        <w:t>22.</w:t>
      </w:r>
      <w:r w:rsidRPr="006B4DD2">
        <w:tab/>
        <w:t>Clark S, Kadatz M, Gill J, Gill JS. Access to Kidney Transplantation after a Failed First Kidney Transplant and Associations with Patient and Allograft Survival: An Analysis of National Data to Inform Allocation Policy. Clin J Am Soc Nephrol. 2019;14(8):1228-37.</w:t>
      </w:r>
    </w:p>
    <w:p w14:paraId="00FB8A9E" w14:textId="77777777" w:rsidR="00A005CE" w:rsidRPr="006B4DD2" w:rsidRDefault="00A005CE" w:rsidP="00A005CE">
      <w:pPr>
        <w:pStyle w:val="EndNoteBibliography"/>
        <w:spacing w:after="0" w:line="276" w:lineRule="auto"/>
      </w:pPr>
      <w:r w:rsidRPr="006B4DD2">
        <w:t>23.</w:t>
      </w:r>
      <w:r w:rsidRPr="006B4DD2">
        <w:tab/>
        <w:t>Davis S, Mohan S. Managing Patients with Failing Kidney Allograft: Many Questions Remain. Clin J Am Soc Nephrol. 2022;17(3):444-51.</w:t>
      </w:r>
    </w:p>
    <w:p w14:paraId="4D017F47" w14:textId="77777777" w:rsidR="00A005CE" w:rsidRPr="006B4DD2" w:rsidRDefault="00A005CE" w:rsidP="00A005CE">
      <w:pPr>
        <w:pStyle w:val="EndNoteBibliography"/>
        <w:spacing w:after="0" w:line="276" w:lineRule="auto"/>
      </w:pPr>
      <w:r w:rsidRPr="006B4DD2">
        <w:t>24.</w:t>
      </w:r>
      <w:r w:rsidRPr="006B4DD2">
        <w:tab/>
        <w:t>Hariharan S, McBride MA, Cherikh WS, Tolleris CB, Bresnahan BA, Johnson CP. Post-transplant renal function in the first year predicts long-term kidney transplant survival. Kidney Int. 2002;62(1):311-8.</w:t>
      </w:r>
    </w:p>
    <w:p w14:paraId="4D7CA341" w14:textId="77777777" w:rsidR="00A005CE" w:rsidRPr="006B4DD2" w:rsidRDefault="00A005CE" w:rsidP="00A005CE">
      <w:pPr>
        <w:pStyle w:val="EndNoteBibliography"/>
        <w:spacing w:after="0" w:line="276" w:lineRule="auto"/>
      </w:pPr>
      <w:r w:rsidRPr="006B4DD2">
        <w:t>25.</w:t>
      </w:r>
      <w:r w:rsidRPr="006B4DD2">
        <w:tab/>
        <w:t>Hamilton AJ, Plumb LA, Casula A, Sinha MD. Associations with kidney transplant survival and eGFR decline in children and young adults in the United Kingdom: a retrospective cohort study. BMC Nephrol. 2020;21(1):492.</w:t>
      </w:r>
    </w:p>
    <w:p w14:paraId="418FDF76" w14:textId="77777777" w:rsidR="00A005CE" w:rsidRPr="006B4DD2" w:rsidRDefault="00A005CE" w:rsidP="00A005CE">
      <w:pPr>
        <w:pStyle w:val="EndNoteBibliography"/>
        <w:spacing w:after="0" w:line="276" w:lineRule="auto"/>
      </w:pPr>
      <w:r w:rsidRPr="006B4DD2">
        <w:t>26.</w:t>
      </w:r>
      <w:r w:rsidRPr="006B4DD2">
        <w:tab/>
        <w:t>Lubetzky M, Tantisattamo E, Molnar MZ, Lentine KL, Basu A, Parsons RF, et al. The failing kidney allograft: A review and recommendations for the care and management of a complex group of patients. Am J Transplant. 2021;21(9):2937-49.</w:t>
      </w:r>
    </w:p>
    <w:p w14:paraId="477C8C75" w14:textId="77777777" w:rsidR="00A005CE" w:rsidRPr="006B4DD2" w:rsidRDefault="00A005CE" w:rsidP="00A005CE">
      <w:pPr>
        <w:pStyle w:val="EndNoteBibliography"/>
        <w:spacing w:after="0" w:line="276" w:lineRule="auto"/>
      </w:pPr>
      <w:r w:rsidRPr="006B4DD2">
        <w:t>27.</w:t>
      </w:r>
      <w:r w:rsidRPr="006B4DD2">
        <w:tab/>
        <w:t>Leal R, Pardinhas C, Martinho A, Sa HO, Figueiredo A, Alves R. Strategies to Overcome HLA Sensitization and Improve Access to Retransplantation after Kidney Graft Loss. J Clin Med. 2022;11(19).</w:t>
      </w:r>
    </w:p>
    <w:p w14:paraId="10252F23" w14:textId="77777777" w:rsidR="00A005CE" w:rsidRPr="006B4DD2" w:rsidRDefault="00A005CE" w:rsidP="00A005CE">
      <w:pPr>
        <w:pStyle w:val="EndNoteBibliography"/>
        <w:spacing w:after="0" w:line="276" w:lineRule="auto"/>
      </w:pPr>
      <w:r w:rsidRPr="006B4DD2">
        <w:t>28.</w:t>
      </w:r>
      <w:r w:rsidRPr="006B4DD2">
        <w:tab/>
        <w:t>Alsharani M, Basonbul F, Yohanna S. Low Rates of Preemptive Kidney Transplantation: A Root Cause Analysis to Identify Opportunities for Improvement. J Clin Med Res. 2021;13(1):1-8.</w:t>
      </w:r>
    </w:p>
    <w:p w14:paraId="7D8E01E4" w14:textId="77777777" w:rsidR="00A005CE" w:rsidRPr="006B4DD2" w:rsidRDefault="00A005CE" w:rsidP="00A005CE">
      <w:pPr>
        <w:pStyle w:val="EndNoteBibliography"/>
        <w:spacing w:after="0" w:line="276" w:lineRule="auto"/>
      </w:pPr>
      <w:r w:rsidRPr="006B4DD2">
        <w:t>29.</w:t>
      </w:r>
      <w:r w:rsidRPr="006B4DD2">
        <w:tab/>
        <w:t>Hunt HF, Rodrigue JR, Dew MA, Schaffer RL, Henderson ML, Bloom R, et al. Strategies for Increasing Knowledge, Communication, and Access to Living Donor Transplantation: an Evidence Review to Inform Patient Education. Curr Transplant Rep. 2018;5(1):27-44.</w:t>
      </w:r>
    </w:p>
    <w:p w14:paraId="4BEB802A" w14:textId="2EA5072D" w:rsidR="00A005CE" w:rsidRPr="006B4DD2" w:rsidRDefault="00A005CE" w:rsidP="00A005CE">
      <w:pPr>
        <w:pStyle w:val="EndNoteBibliography"/>
        <w:spacing w:after="0" w:line="276" w:lineRule="auto"/>
      </w:pPr>
      <w:r w:rsidRPr="006B4DD2">
        <w:t>30.</w:t>
      </w:r>
      <w:r w:rsidRPr="006B4DD2">
        <w:tab/>
        <w:t>Wong SPY, McFarland LV, Liu CF, Laundry RJ, Hebert PL, O'Hare AM. Care Practices for Patients With Advanced Kidney Disease Who Forgo Maintenance Dialysis. JAMA Intern Med. 2019;179(3):305-</w:t>
      </w:r>
    </w:p>
    <w:p w14:paraId="24A09A4F" w14:textId="40C822BD" w:rsidR="00A005CE" w:rsidRPr="006B4DD2" w:rsidRDefault="00A005CE" w:rsidP="00A005CE">
      <w:pPr>
        <w:pStyle w:val="EndNoteBibliography"/>
        <w:spacing w:after="0" w:line="276" w:lineRule="auto"/>
      </w:pPr>
      <w:r w:rsidRPr="006B4DD2">
        <w:t>31.</w:t>
      </w:r>
      <w:r w:rsidRPr="006B4DD2">
        <w:tab/>
        <w:t>Perl J, Wald R, McFarlane P, Bargman JM, Vonesh E, Na Y, et al. Hemodialysis vascular access modifies the association between dialysis modality and survival. J Am Soc Nephrol. 2011;22(6):1113-</w:t>
      </w:r>
    </w:p>
    <w:p w14:paraId="404C9461" w14:textId="77777777" w:rsidR="00A005CE" w:rsidRPr="006B4DD2" w:rsidRDefault="00A005CE" w:rsidP="00A005CE">
      <w:pPr>
        <w:pStyle w:val="EndNoteBibliography"/>
        <w:spacing w:after="0" w:line="276" w:lineRule="auto"/>
      </w:pPr>
      <w:r w:rsidRPr="006B4DD2">
        <w:t>32.</w:t>
      </w:r>
      <w:r w:rsidRPr="006B4DD2">
        <w:tab/>
        <w:t>Meng X, Wu W, Xu S, Cheng Z. Comparison of outcomes of peritoneal dialysis between patients after failed kidney transplant and transplant-naive patients: a meta-analysis of observational studies. Ren Fail. 2021;43(1):698-708.</w:t>
      </w:r>
    </w:p>
    <w:p w14:paraId="54E5123F" w14:textId="77777777" w:rsidR="00A005CE" w:rsidRPr="006B4DD2" w:rsidRDefault="00A005CE" w:rsidP="00A005CE">
      <w:pPr>
        <w:pStyle w:val="EndNoteBibliography"/>
        <w:spacing w:after="0" w:line="276" w:lineRule="auto"/>
      </w:pPr>
      <w:r w:rsidRPr="006B4DD2">
        <w:t>33.</w:t>
      </w:r>
      <w:r w:rsidRPr="006B4DD2">
        <w:tab/>
        <w:t>Laham G, Pujol GS, Vilches A, Cusumano A, Diaz C. Nonprogrammed Vascular Access Is Associated With Greater Mortality in Patients Who Return to Hemodialysis With a Failing Renal Graft. Transplantation. 2017;101(10):2606-11.</w:t>
      </w:r>
    </w:p>
    <w:p w14:paraId="72F9DFE3" w14:textId="77777777" w:rsidR="00A005CE" w:rsidRPr="006B4DD2" w:rsidRDefault="00A005CE" w:rsidP="00A005CE">
      <w:pPr>
        <w:pStyle w:val="EndNoteBibliography"/>
        <w:spacing w:after="0" w:line="276" w:lineRule="auto"/>
      </w:pPr>
      <w:r w:rsidRPr="006B4DD2">
        <w:t>34.</w:t>
      </w:r>
      <w:r w:rsidRPr="006B4DD2">
        <w:tab/>
        <w:t xml:space="preserve">Kidney Research UK. Dialysis: making the right choices for you 2020 [Available from: </w:t>
      </w:r>
      <w:r w:rsidRPr="003C2D3D">
        <w:t>https://kidneyresearchuk.org/wp-content/uploads/2019/05/KR-decision-Aid-DOWNLOAD.pdf</w:t>
      </w:r>
      <w:r w:rsidRPr="006B4DD2">
        <w:t>.</w:t>
      </w:r>
    </w:p>
    <w:p w14:paraId="770F01F8" w14:textId="77777777" w:rsidR="00A005CE" w:rsidRPr="006B4DD2" w:rsidRDefault="00A005CE" w:rsidP="00A005CE">
      <w:pPr>
        <w:pStyle w:val="EndNoteBibliography"/>
        <w:spacing w:after="0" w:line="276" w:lineRule="auto"/>
      </w:pPr>
      <w:r w:rsidRPr="006B4DD2">
        <w:t>35.</w:t>
      </w:r>
      <w:r w:rsidRPr="006B4DD2">
        <w:tab/>
        <w:t>Naylor KL, Knoll GA, McArthur E, Garg AX, Lam NN, Field B, et al. Outcomes of an Inpatient Dialysis Start in Patients With Kidney Graft Failure: A Population-Based Multicentre Cohort Study. Can J Kidney Health Dis. 2021;8:2054358120985376.</w:t>
      </w:r>
    </w:p>
    <w:p w14:paraId="15CB86B3" w14:textId="77777777" w:rsidR="00A005CE" w:rsidRPr="006B4DD2" w:rsidRDefault="00A005CE" w:rsidP="00A005CE">
      <w:pPr>
        <w:pStyle w:val="EndNoteBibliography"/>
        <w:spacing w:after="0" w:line="276" w:lineRule="auto"/>
      </w:pPr>
      <w:r w:rsidRPr="006B4DD2">
        <w:t>36.</w:t>
      </w:r>
      <w:r w:rsidRPr="006B4DD2">
        <w:tab/>
        <w:t xml:space="preserve">Kumwenda M, Mitra, S., &amp; Reid, C. Clinical practice guideline - Vascular access for haemodialysis 2015 [Available from: </w:t>
      </w:r>
      <w:r w:rsidRPr="003C2D3D">
        <w:t>https://ukkidney.org/sites/renal.org/files/vascular-access.pdf</w:t>
      </w:r>
      <w:r w:rsidRPr="006B4DD2">
        <w:t>.</w:t>
      </w:r>
    </w:p>
    <w:p w14:paraId="3BFB4164" w14:textId="77777777" w:rsidR="00A005CE" w:rsidRPr="006B4DD2" w:rsidRDefault="00A005CE" w:rsidP="00A005CE">
      <w:pPr>
        <w:pStyle w:val="EndNoteBibliography"/>
        <w:spacing w:after="0" w:line="276" w:lineRule="auto"/>
      </w:pPr>
      <w:r w:rsidRPr="006B4DD2">
        <w:t>37.</w:t>
      </w:r>
      <w:r w:rsidRPr="006B4DD2">
        <w:tab/>
        <w:t>Crabtree JH, Shrestha BM, Chow KM, Figueiredo AE, Povlsen JV, Wilkie M, et al. Creating and Maintaining Optimal Peritoneal Dialysis Access in the Adult Patient: 2019 Update. Perit Dial Int. 2019;39(5):414-36.</w:t>
      </w:r>
    </w:p>
    <w:p w14:paraId="3108744B" w14:textId="77777777" w:rsidR="00A005CE" w:rsidRPr="006B4DD2" w:rsidRDefault="00A005CE" w:rsidP="00A005CE">
      <w:pPr>
        <w:pStyle w:val="EndNoteBibliography"/>
        <w:spacing w:after="0" w:line="276" w:lineRule="auto"/>
      </w:pPr>
      <w:r w:rsidRPr="006B4DD2">
        <w:lastRenderedPageBreak/>
        <w:t>38.</w:t>
      </w:r>
      <w:r w:rsidRPr="006B4DD2">
        <w:tab/>
        <w:t>Messa P, Ponticelli C, Berardinelli L. Coming back to dialysis after kidney transplant failure. Nephrol Dial Transplant. 2008;23(9):2738-42.</w:t>
      </w:r>
    </w:p>
    <w:p w14:paraId="2C62285B" w14:textId="77777777" w:rsidR="00A005CE" w:rsidRPr="006B4DD2" w:rsidRDefault="00A005CE" w:rsidP="00A005CE">
      <w:pPr>
        <w:pStyle w:val="EndNoteBibliography"/>
        <w:spacing w:after="0" w:line="276" w:lineRule="auto"/>
      </w:pPr>
      <w:r w:rsidRPr="006B4DD2">
        <w:t>39.</w:t>
      </w:r>
      <w:r w:rsidRPr="006B4DD2">
        <w:tab/>
        <w:t>National Institute for Health and Care Excellence (NICE). Renal replacement therapy and conservative management [NG107]. 2018.</w:t>
      </w:r>
    </w:p>
    <w:p w14:paraId="4CB2ECFF" w14:textId="77777777" w:rsidR="00A005CE" w:rsidRPr="006B4DD2" w:rsidRDefault="00A005CE" w:rsidP="00A005CE">
      <w:pPr>
        <w:pStyle w:val="EndNoteBibliography"/>
        <w:spacing w:after="0" w:line="276" w:lineRule="auto"/>
      </w:pPr>
      <w:r w:rsidRPr="006B4DD2">
        <w:t>40.</w:t>
      </w:r>
      <w:r w:rsidRPr="006B4DD2">
        <w:tab/>
        <w:t xml:space="preserve">Framework GS. The GSF Centre in End of Life Care 2022 [Available from: </w:t>
      </w:r>
      <w:r w:rsidRPr="003C2D3D">
        <w:t>https://www.goldstandardsframework.org.uk</w:t>
      </w:r>
      <w:r w:rsidRPr="006B4DD2">
        <w:t xml:space="preserve"> </w:t>
      </w:r>
    </w:p>
    <w:p w14:paraId="073AC67C" w14:textId="5CBC70FD" w:rsidR="00A005CE" w:rsidRPr="006B4DD2" w:rsidRDefault="00A005CE" w:rsidP="00A005CE">
      <w:pPr>
        <w:pStyle w:val="EndNoteBibliography"/>
        <w:spacing w:after="0" w:line="276" w:lineRule="auto"/>
      </w:pPr>
      <w:r w:rsidRPr="006B4DD2">
        <w:t>41.</w:t>
      </w:r>
      <w:r w:rsidRPr="006B4DD2">
        <w:tab/>
        <w:t xml:space="preserve">NHS England. End of Life Care in Advanced Kidney Disease: A Framework for Implementation 2017 </w:t>
      </w:r>
    </w:p>
    <w:p w14:paraId="74DD4056" w14:textId="77777777" w:rsidR="00A005CE" w:rsidRPr="006B4DD2" w:rsidRDefault="00A005CE" w:rsidP="00A005CE">
      <w:pPr>
        <w:pStyle w:val="EndNoteBibliography"/>
        <w:spacing w:after="0" w:line="276" w:lineRule="auto"/>
      </w:pPr>
      <w:r w:rsidRPr="006B4DD2">
        <w:t>42.</w:t>
      </w:r>
      <w:r w:rsidRPr="006B4DD2">
        <w:tab/>
        <w:t>Wentlandt K, Weiss A, O'Connor E, Kaya E. Palliative and end of life care in solid organ transplantation. Am J Transplant. 2017;17(12):3008-19.</w:t>
      </w:r>
    </w:p>
    <w:p w14:paraId="05B24C54" w14:textId="2426D98E" w:rsidR="00DC53A5" w:rsidRDefault="00DC53A5" w:rsidP="00F36C42">
      <w:pPr>
        <w:rPr>
          <w:rFonts w:cstheme="minorHAnsi"/>
        </w:rPr>
      </w:pPr>
    </w:p>
    <w:p w14:paraId="6D0B5574" w14:textId="7AC9FEE2" w:rsidR="00DC53A5" w:rsidRPr="0044794B" w:rsidRDefault="00DC53A5" w:rsidP="00DC53A5">
      <w:pPr>
        <w:pStyle w:val="Heading1"/>
        <w:rPr>
          <w:rFonts w:eastAsia="Arial"/>
        </w:rPr>
      </w:pPr>
      <w:bookmarkStart w:id="174" w:name="_Toc128330077"/>
      <w:r>
        <w:rPr>
          <w:rFonts w:eastAsia="Arial"/>
        </w:rPr>
        <w:t>11</w:t>
      </w:r>
      <w:r w:rsidRPr="0044794B">
        <w:rPr>
          <w:rFonts w:eastAsia="Arial"/>
        </w:rPr>
        <w:t xml:space="preserve"> OUTCOMES FOLLOWING RETURN TO DIALYSIS OR RETRANSPLANTATION</w:t>
      </w:r>
      <w:bookmarkEnd w:id="174"/>
    </w:p>
    <w:p w14:paraId="66DA4703" w14:textId="77777777" w:rsidR="00DC53A5" w:rsidRPr="00DC53A5" w:rsidRDefault="00DC53A5" w:rsidP="00DC53A5">
      <w:pPr>
        <w:spacing w:line="276" w:lineRule="auto"/>
        <w:rPr>
          <w:rFonts w:eastAsia="Times New Roman" w:cstheme="minorHAnsi"/>
        </w:rPr>
      </w:pPr>
      <w:bookmarkStart w:id="175" w:name="_Toc128330078"/>
      <w:r w:rsidRPr="00DC53A5">
        <w:rPr>
          <w:rStyle w:val="Heading2Char"/>
        </w:rPr>
        <w:t>Statements of Recommendation</w:t>
      </w:r>
      <w:bookmarkEnd w:id="175"/>
      <w:r w:rsidRPr="00DC53A5">
        <w:rPr>
          <w:rStyle w:val="Heading2Char"/>
        </w:rPr>
        <w:br/>
      </w:r>
      <w:r w:rsidRPr="00DC53A5">
        <w:rPr>
          <w:rFonts w:eastAsia="Arial" w:cstheme="minorHAnsi"/>
          <w:color w:val="000000"/>
        </w:rPr>
        <w:t xml:space="preserve">We </w:t>
      </w:r>
      <w:r w:rsidRPr="00DC53A5">
        <w:rPr>
          <w:rFonts w:eastAsia="Arial" w:cstheme="minorHAnsi"/>
        </w:rPr>
        <w:t>recommend</w:t>
      </w:r>
      <w:r w:rsidRPr="00DC53A5">
        <w:rPr>
          <w:rFonts w:eastAsia="Arial" w:cstheme="minorHAnsi"/>
          <w:color w:val="000000"/>
        </w:rPr>
        <w:t xml:space="preserve"> that:  </w:t>
      </w:r>
    </w:p>
    <w:p w14:paraId="5EE3324D" w14:textId="61049EFE" w:rsidR="00DC53A5" w:rsidRPr="00DC53A5" w:rsidRDefault="00DC53A5">
      <w:pPr>
        <w:numPr>
          <w:ilvl w:val="0"/>
          <w:numId w:val="32"/>
        </w:numPr>
        <w:spacing w:line="276" w:lineRule="auto"/>
        <w:ind w:left="714" w:hanging="357"/>
        <w:jc w:val="both"/>
        <w:rPr>
          <w:rFonts w:cstheme="minorHAnsi"/>
          <w:color w:val="000000"/>
        </w:rPr>
      </w:pPr>
      <w:r w:rsidRPr="00DC53A5">
        <w:rPr>
          <w:rFonts w:eastAsia="Arial" w:cstheme="minorHAnsi"/>
          <w:color w:val="000000"/>
        </w:rPr>
        <w:t>Following graft failure, repeat transplantation offers the best patient survival and quality of life</w:t>
      </w:r>
      <w:r w:rsidR="00F5715E">
        <w:rPr>
          <w:rFonts w:eastAsia="Arial" w:cstheme="minorHAnsi"/>
          <w:color w:val="000000"/>
        </w:rPr>
        <w:t>.</w:t>
      </w:r>
      <w:r w:rsidRPr="00DC53A5">
        <w:rPr>
          <w:rFonts w:eastAsia="Arial" w:cstheme="minorHAnsi"/>
          <w:color w:val="000000"/>
        </w:rPr>
        <w:t xml:space="preserve"> (</w:t>
      </w:r>
      <w:r w:rsidRPr="00F5715E">
        <w:rPr>
          <w:rFonts w:eastAsia="Arial" w:cstheme="minorHAnsi"/>
          <w:color w:val="000000"/>
        </w:rPr>
        <w:t>1A</w:t>
      </w:r>
      <w:r w:rsidRPr="00DC53A5">
        <w:rPr>
          <w:rFonts w:eastAsia="Arial" w:cstheme="minorHAnsi"/>
          <w:color w:val="000000"/>
        </w:rPr>
        <w:t>)</w:t>
      </w:r>
    </w:p>
    <w:p w14:paraId="4D0DA99C" w14:textId="05D6B494" w:rsidR="00DC53A5" w:rsidRPr="00DC53A5" w:rsidRDefault="00DC53A5">
      <w:pPr>
        <w:numPr>
          <w:ilvl w:val="0"/>
          <w:numId w:val="32"/>
        </w:numPr>
        <w:spacing w:line="276" w:lineRule="auto"/>
        <w:ind w:left="714" w:hanging="357"/>
        <w:jc w:val="both"/>
        <w:rPr>
          <w:rFonts w:eastAsia="Arial" w:cstheme="minorHAnsi"/>
          <w:color w:val="2A2A2A"/>
        </w:rPr>
      </w:pPr>
      <w:r w:rsidRPr="00DC53A5">
        <w:rPr>
          <w:rFonts w:eastAsia="Arial" w:cstheme="minorHAnsi"/>
          <w:color w:val="000000"/>
        </w:rPr>
        <w:t>The optimum kidney for retransplantation comes from a pre-</w:t>
      </w:r>
      <w:r w:rsidRPr="00DC53A5">
        <w:rPr>
          <w:rFonts w:eastAsia="Arial" w:cstheme="minorHAnsi"/>
        </w:rPr>
        <w:t>emptive</w:t>
      </w:r>
      <w:r w:rsidRPr="00DC53A5">
        <w:rPr>
          <w:rFonts w:eastAsia="Arial" w:cstheme="minorHAnsi"/>
          <w:color w:val="000000"/>
        </w:rPr>
        <w:t xml:space="preserve"> well-matched living donor</w:t>
      </w:r>
      <w:r w:rsidR="00F5715E">
        <w:rPr>
          <w:rFonts w:eastAsia="Arial" w:cstheme="minorHAnsi"/>
          <w:color w:val="000000"/>
        </w:rPr>
        <w:t>.</w:t>
      </w:r>
      <w:r w:rsidRPr="00DC53A5">
        <w:rPr>
          <w:rFonts w:eastAsia="Arial" w:cstheme="minorHAnsi"/>
          <w:color w:val="000000"/>
        </w:rPr>
        <w:t xml:space="preserve"> (</w:t>
      </w:r>
      <w:r w:rsidRPr="00F5715E">
        <w:rPr>
          <w:rFonts w:eastAsia="Arial" w:cstheme="minorHAnsi"/>
          <w:color w:val="000000"/>
        </w:rPr>
        <w:t>1A</w:t>
      </w:r>
      <w:r w:rsidRPr="00DC53A5">
        <w:rPr>
          <w:rFonts w:eastAsia="Arial" w:cstheme="minorHAnsi"/>
          <w:color w:val="000000"/>
        </w:rPr>
        <w:t>)</w:t>
      </w:r>
    </w:p>
    <w:p w14:paraId="2030A642" w14:textId="77777777" w:rsidR="00DC53A5" w:rsidRPr="00DC53A5" w:rsidRDefault="00DC53A5" w:rsidP="00DC53A5">
      <w:pPr>
        <w:spacing w:line="276" w:lineRule="auto"/>
        <w:jc w:val="both"/>
        <w:rPr>
          <w:rFonts w:eastAsia="Arial" w:cstheme="minorHAnsi"/>
          <w:color w:val="2A2A2A"/>
        </w:rPr>
      </w:pPr>
      <w:r w:rsidRPr="00DC53A5">
        <w:rPr>
          <w:rFonts w:eastAsia="Arial" w:cstheme="minorHAnsi"/>
          <w:color w:val="2A2A2A"/>
        </w:rPr>
        <w:t xml:space="preserve">We suggest that: </w:t>
      </w:r>
    </w:p>
    <w:p w14:paraId="0566EAA0" w14:textId="070F9F2D" w:rsidR="00DC53A5" w:rsidRPr="00DC53A5" w:rsidRDefault="00DC53A5">
      <w:pPr>
        <w:numPr>
          <w:ilvl w:val="0"/>
          <w:numId w:val="32"/>
        </w:numPr>
        <w:spacing w:line="276" w:lineRule="auto"/>
        <w:jc w:val="both"/>
        <w:rPr>
          <w:rFonts w:eastAsia="Arial" w:cstheme="minorHAnsi"/>
          <w:color w:val="2A2A2A"/>
        </w:rPr>
      </w:pPr>
      <w:r w:rsidRPr="00DC53A5">
        <w:rPr>
          <w:rFonts w:eastAsia="Arial" w:cstheme="minorHAnsi"/>
          <w:color w:val="2A2A2A"/>
        </w:rPr>
        <w:t>Recipients with progressive decline in graft function are worked up in a timely fashion for repeat transplantation if suitable</w:t>
      </w:r>
      <w:r w:rsidR="00F5715E">
        <w:rPr>
          <w:rFonts w:eastAsia="Arial" w:cstheme="minorHAnsi"/>
          <w:color w:val="2A2A2A"/>
        </w:rPr>
        <w:t>.</w:t>
      </w:r>
      <w:r w:rsidRPr="00DC53A5">
        <w:rPr>
          <w:rFonts w:eastAsia="Arial" w:cstheme="minorHAnsi"/>
          <w:color w:val="2A2A2A"/>
        </w:rPr>
        <w:t xml:space="preserve"> (</w:t>
      </w:r>
      <w:r w:rsidRPr="00F5715E">
        <w:rPr>
          <w:rFonts w:eastAsia="Arial" w:cstheme="minorHAnsi"/>
          <w:color w:val="2A2A2A"/>
        </w:rPr>
        <w:t>2B</w:t>
      </w:r>
      <w:r w:rsidRPr="00DC53A5">
        <w:rPr>
          <w:rFonts w:eastAsia="Arial" w:cstheme="minorHAnsi"/>
          <w:color w:val="2A2A2A"/>
        </w:rPr>
        <w:t>)</w:t>
      </w:r>
    </w:p>
    <w:p w14:paraId="5843BBE3" w14:textId="7ECDAAF0" w:rsidR="00DC53A5" w:rsidRPr="00DC53A5" w:rsidRDefault="00DC53A5">
      <w:pPr>
        <w:numPr>
          <w:ilvl w:val="0"/>
          <w:numId w:val="32"/>
        </w:numPr>
        <w:spacing w:line="276" w:lineRule="auto"/>
        <w:jc w:val="both"/>
        <w:rPr>
          <w:rFonts w:eastAsia="Arial" w:cstheme="minorHAnsi"/>
          <w:color w:val="2A2A2A"/>
        </w:rPr>
      </w:pPr>
      <w:r w:rsidRPr="00DC53A5">
        <w:rPr>
          <w:rFonts w:eastAsia="Arial" w:cstheme="minorHAnsi"/>
          <w:color w:val="2A2A2A"/>
        </w:rPr>
        <w:t xml:space="preserve">There is </w:t>
      </w:r>
      <w:r w:rsidR="00850844">
        <w:rPr>
          <w:rFonts w:eastAsia="Arial" w:cstheme="minorHAnsi"/>
          <w:color w:val="2A2A2A"/>
        </w:rPr>
        <w:t xml:space="preserve">a </w:t>
      </w:r>
      <w:r w:rsidRPr="00DC53A5">
        <w:rPr>
          <w:rFonts w:eastAsia="Arial" w:cstheme="minorHAnsi"/>
          <w:color w:val="2A2A2A"/>
        </w:rPr>
        <w:t>timely provision of definitive access</w:t>
      </w:r>
      <w:r w:rsidR="00F5715E">
        <w:rPr>
          <w:rFonts w:eastAsia="Arial" w:cstheme="minorHAnsi"/>
          <w:color w:val="2A2A2A"/>
        </w:rPr>
        <w:t>.</w:t>
      </w:r>
      <w:r w:rsidRPr="00DC53A5">
        <w:rPr>
          <w:rFonts w:eastAsia="Arial" w:cstheme="minorHAnsi"/>
          <w:color w:val="2A2A2A"/>
        </w:rPr>
        <w:t xml:space="preserve"> (</w:t>
      </w:r>
      <w:r w:rsidRPr="00F5715E">
        <w:rPr>
          <w:rFonts w:eastAsia="Arial" w:cstheme="minorHAnsi"/>
          <w:color w:val="2A2A2A"/>
        </w:rPr>
        <w:t>2B</w:t>
      </w:r>
      <w:r w:rsidRPr="00DC53A5">
        <w:rPr>
          <w:rFonts w:eastAsia="Arial" w:cstheme="minorHAnsi"/>
          <w:color w:val="2A2A2A"/>
        </w:rPr>
        <w:t>)</w:t>
      </w:r>
    </w:p>
    <w:p w14:paraId="398BE369" w14:textId="31D2E262" w:rsidR="00DC53A5" w:rsidRPr="0044794B" w:rsidRDefault="00DC53A5" w:rsidP="00A005CE">
      <w:r w:rsidRPr="0044794B">
        <w:t>Recommendations for Audit and Research</w:t>
      </w:r>
      <w:r w:rsidR="00A005CE">
        <w:t>:</w:t>
      </w:r>
    </w:p>
    <w:p w14:paraId="469FF4DB" w14:textId="77777777" w:rsidR="00DC53A5" w:rsidRPr="00DC53A5" w:rsidRDefault="00DC53A5">
      <w:pPr>
        <w:numPr>
          <w:ilvl w:val="0"/>
          <w:numId w:val="33"/>
        </w:numPr>
        <w:spacing w:line="276" w:lineRule="auto"/>
        <w:jc w:val="both"/>
        <w:rPr>
          <w:rFonts w:eastAsia="Arial" w:cstheme="minorHAnsi"/>
          <w:color w:val="2A2A2A"/>
        </w:rPr>
      </w:pPr>
      <w:r w:rsidRPr="00DC53A5">
        <w:rPr>
          <w:rFonts w:eastAsia="Arial" w:cstheme="minorHAnsi"/>
          <w:color w:val="2A2A2A"/>
        </w:rPr>
        <w:t>Clarification of the definition of a failing graft.</w:t>
      </w:r>
    </w:p>
    <w:p w14:paraId="01815ADE" w14:textId="77777777" w:rsidR="00DC53A5" w:rsidRPr="00DC53A5" w:rsidRDefault="00DC53A5">
      <w:pPr>
        <w:numPr>
          <w:ilvl w:val="0"/>
          <w:numId w:val="33"/>
        </w:numPr>
        <w:spacing w:line="276" w:lineRule="auto"/>
        <w:ind w:left="714" w:hanging="357"/>
        <w:jc w:val="both"/>
        <w:rPr>
          <w:rFonts w:eastAsia="Arial" w:cstheme="minorHAnsi"/>
          <w:color w:val="2A2A2A"/>
        </w:rPr>
      </w:pPr>
      <w:r w:rsidRPr="00DC53A5">
        <w:rPr>
          <w:rFonts w:eastAsia="Arial" w:cstheme="minorHAnsi"/>
          <w:color w:val="2A2A2A"/>
        </w:rPr>
        <w:t>What is the optimal timing of relisting or pre-emptive transplantation in recipients with failing kidney transplants (RFKT)?</w:t>
      </w:r>
    </w:p>
    <w:p w14:paraId="5A8799F0" w14:textId="77777777" w:rsidR="00DC53A5" w:rsidRPr="00DC53A5" w:rsidRDefault="00DC53A5">
      <w:pPr>
        <w:numPr>
          <w:ilvl w:val="0"/>
          <w:numId w:val="33"/>
        </w:numPr>
        <w:spacing w:line="276" w:lineRule="auto"/>
        <w:jc w:val="both"/>
        <w:rPr>
          <w:rFonts w:eastAsia="Arial" w:cstheme="minorHAnsi"/>
          <w:color w:val="2A2A2A"/>
        </w:rPr>
      </w:pPr>
      <w:r w:rsidRPr="00DC53A5">
        <w:rPr>
          <w:rFonts w:eastAsia="Arial" w:cstheme="minorHAnsi"/>
          <w:color w:val="2A2A2A"/>
          <w:highlight w:val="white"/>
        </w:rPr>
        <w:t>What is survival post graft failure for those who are relisted or not relisted and remain on dialysis</w:t>
      </w:r>
      <w:r w:rsidRPr="00DC53A5">
        <w:rPr>
          <w:rFonts w:eastAsia="Arial" w:cstheme="minorHAnsi"/>
          <w:color w:val="2A2A2A"/>
        </w:rPr>
        <w:t>?</w:t>
      </w:r>
    </w:p>
    <w:p w14:paraId="1F297B3C" w14:textId="77777777" w:rsidR="00DC53A5" w:rsidRPr="00DC53A5" w:rsidRDefault="00DC53A5">
      <w:pPr>
        <w:numPr>
          <w:ilvl w:val="0"/>
          <w:numId w:val="33"/>
        </w:numPr>
        <w:spacing w:line="276" w:lineRule="auto"/>
        <w:jc w:val="both"/>
        <w:rPr>
          <w:rFonts w:eastAsia="Arial" w:cstheme="minorHAnsi"/>
          <w:color w:val="2A2A2A"/>
        </w:rPr>
      </w:pPr>
      <w:r w:rsidRPr="00DC53A5">
        <w:rPr>
          <w:rFonts w:eastAsia="Arial" w:cstheme="minorHAnsi"/>
          <w:color w:val="2A2A2A"/>
        </w:rPr>
        <w:t>What are the causes of repeated graft loss at a young age and what factors could be mitigated?</w:t>
      </w:r>
    </w:p>
    <w:p w14:paraId="15697315" w14:textId="064ABC44" w:rsidR="00DC53A5" w:rsidRPr="00DC53A5" w:rsidRDefault="00DC53A5">
      <w:pPr>
        <w:numPr>
          <w:ilvl w:val="0"/>
          <w:numId w:val="33"/>
        </w:numPr>
        <w:spacing w:line="276" w:lineRule="auto"/>
        <w:jc w:val="both"/>
        <w:rPr>
          <w:rFonts w:eastAsia="Arial" w:cstheme="minorHAnsi"/>
          <w:color w:val="2A2A2A"/>
        </w:rPr>
      </w:pPr>
      <w:r w:rsidRPr="00DC53A5">
        <w:rPr>
          <w:rFonts w:eastAsia="Arial" w:cstheme="minorHAnsi"/>
          <w:color w:val="2A2A2A"/>
        </w:rPr>
        <w:t xml:space="preserve">Of those dying with a failed graft, how many would </w:t>
      </w:r>
      <w:r w:rsidR="00850844">
        <w:rPr>
          <w:rFonts w:eastAsia="Arial" w:cstheme="minorHAnsi"/>
          <w:color w:val="2A2A2A"/>
        </w:rPr>
        <w:t>have</w:t>
      </w:r>
      <w:r w:rsidRPr="00DC53A5">
        <w:rPr>
          <w:rFonts w:eastAsia="Arial" w:cstheme="minorHAnsi"/>
          <w:color w:val="2A2A2A"/>
        </w:rPr>
        <w:t xml:space="preserve"> be</w:t>
      </w:r>
      <w:r w:rsidR="00850844">
        <w:rPr>
          <w:rFonts w:eastAsia="Arial" w:cstheme="minorHAnsi"/>
          <w:color w:val="2A2A2A"/>
        </w:rPr>
        <w:t>en</w:t>
      </w:r>
      <w:r w:rsidRPr="00DC53A5">
        <w:rPr>
          <w:rFonts w:eastAsia="Arial" w:cstheme="minorHAnsi"/>
          <w:color w:val="2A2A2A"/>
        </w:rPr>
        <w:t xml:space="preserve"> suitable to have reworked up for transplant or appropriate withdrawal of renal replacement?</w:t>
      </w:r>
    </w:p>
    <w:p w14:paraId="0970AEA5" w14:textId="77777777" w:rsidR="00DC53A5" w:rsidRPr="00DC53A5" w:rsidRDefault="00DC53A5">
      <w:pPr>
        <w:numPr>
          <w:ilvl w:val="0"/>
          <w:numId w:val="33"/>
        </w:numPr>
        <w:spacing w:line="276" w:lineRule="auto"/>
        <w:jc w:val="both"/>
        <w:rPr>
          <w:rFonts w:eastAsia="Arial" w:cstheme="minorHAnsi"/>
          <w:color w:val="2A2A2A"/>
        </w:rPr>
      </w:pPr>
      <w:r w:rsidRPr="00DC53A5">
        <w:rPr>
          <w:rFonts w:eastAsia="Arial" w:cstheme="minorHAnsi"/>
          <w:color w:val="2A2A2A"/>
        </w:rPr>
        <w:t xml:space="preserve">How many recipients are there in the UK with failed transplants and what is their </w:t>
      </w:r>
      <w:proofErr w:type="gramStart"/>
      <w:r w:rsidRPr="00DC53A5">
        <w:rPr>
          <w:rFonts w:eastAsia="Arial" w:cstheme="minorHAnsi"/>
          <w:color w:val="2A2A2A"/>
        </w:rPr>
        <w:t>current status</w:t>
      </w:r>
      <w:proofErr w:type="gramEnd"/>
      <w:r w:rsidRPr="00DC53A5">
        <w:rPr>
          <w:rFonts w:eastAsia="Arial" w:cstheme="minorHAnsi"/>
          <w:color w:val="2A2A2A"/>
        </w:rPr>
        <w:t>?</w:t>
      </w:r>
    </w:p>
    <w:p w14:paraId="42E8A464" w14:textId="77777777" w:rsidR="00DC53A5" w:rsidRPr="00D1630D" w:rsidRDefault="00DC53A5" w:rsidP="00DC53A5">
      <w:pPr>
        <w:pStyle w:val="Heading2"/>
        <w:rPr>
          <w:rFonts w:eastAsia="Arial"/>
        </w:rPr>
      </w:pPr>
      <w:bookmarkStart w:id="176" w:name="_Toc128330079"/>
      <w:r w:rsidRPr="00D1630D">
        <w:rPr>
          <w:rFonts w:eastAsia="Arial"/>
        </w:rPr>
        <w:lastRenderedPageBreak/>
        <w:t>Rationale</w:t>
      </w:r>
      <w:bookmarkEnd w:id="176"/>
    </w:p>
    <w:p w14:paraId="71F76FDC" w14:textId="56F1558C" w:rsidR="00DC53A5" w:rsidRPr="00DC53A5" w:rsidRDefault="00DC53A5" w:rsidP="00DC53A5">
      <w:pPr>
        <w:pStyle w:val="Heading3"/>
        <w:rPr>
          <w:rFonts w:eastAsia="Arial"/>
        </w:rPr>
      </w:pPr>
      <w:bookmarkStart w:id="177" w:name="_Toc128330080"/>
      <w:r>
        <w:rPr>
          <w:rFonts w:eastAsia="Arial"/>
        </w:rPr>
        <w:t xml:space="preserve">11.1 </w:t>
      </w:r>
      <w:r w:rsidRPr="00DC53A5">
        <w:rPr>
          <w:rFonts w:eastAsia="Arial"/>
        </w:rPr>
        <w:t>Introduction</w:t>
      </w:r>
      <w:bookmarkEnd w:id="177"/>
    </w:p>
    <w:p w14:paraId="3C8B3B77" w14:textId="77777777" w:rsidR="00DC53A5" w:rsidRPr="00DC53A5" w:rsidRDefault="00DC53A5" w:rsidP="00F5715E">
      <w:pPr>
        <w:spacing w:line="276" w:lineRule="auto"/>
        <w:jc w:val="both"/>
        <w:rPr>
          <w:rFonts w:eastAsia="Arial" w:cstheme="minorHAnsi"/>
          <w:color w:val="2A2A2A"/>
        </w:rPr>
      </w:pPr>
      <w:r w:rsidRPr="00DC53A5">
        <w:rPr>
          <w:rFonts w:eastAsia="Arial" w:cstheme="minorHAnsi"/>
          <w:color w:val="2A2A2A"/>
        </w:rPr>
        <w:t xml:space="preserve">In this chapter, unreferenced statistics relating to UK transplant outcomes are presented which may be either unpublished or in press. We gratefully acknowledge the support of the Department of Statistics and Clinical Studies, NHS </w:t>
      </w:r>
      <w:proofErr w:type="gramStart"/>
      <w:r w:rsidRPr="00DC53A5">
        <w:rPr>
          <w:rFonts w:eastAsia="Arial" w:cstheme="minorHAnsi"/>
          <w:color w:val="2A2A2A"/>
        </w:rPr>
        <w:t>Blood</w:t>
      </w:r>
      <w:proofErr w:type="gramEnd"/>
      <w:r w:rsidRPr="00DC53A5">
        <w:rPr>
          <w:rFonts w:eastAsia="Arial" w:cstheme="minorHAnsi"/>
          <w:color w:val="2A2A2A"/>
        </w:rPr>
        <w:t xml:space="preserve"> and Transplant (NHSBT). Graft failure is defined as return to renal replacement therapy (peritoneal or haemodialysis or retransplantation) as reported to NHSBT.</w:t>
      </w:r>
    </w:p>
    <w:p w14:paraId="4475177A" w14:textId="2D8ABBB2" w:rsidR="00DC53A5" w:rsidRPr="0044794B" w:rsidRDefault="00DC53A5" w:rsidP="00DC53A5">
      <w:pPr>
        <w:pStyle w:val="Heading3"/>
        <w:rPr>
          <w:rFonts w:eastAsia="Arial"/>
        </w:rPr>
      </w:pPr>
      <w:bookmarkStart w:id="178" w:name="_Toc128330081"/>
      <w:r w:rsidRPr="0044794B">
        <w:rPr>
          <w:rFonts w:eastAsia="Arial"/>
        </w:rPr>
        <w:t>1</w:t>
      </w:r>
      <w:r>
        <w:rPr>
          <w:rFonts w:eastAsia="Arial"/>
        </w:rPr>
        <w:t xml:space="preserve">1.2 </w:t>
      </w:r>
      <w:r w:rsidRPr="0044794B">
        <w:rPr>
          <w:rFonts w:eastAsia="Arial"/>
        </w:rPr>
        <w:t>Prevalence of graft failure</w:t>
      </w:r>
      <w:bookmarkEnd w:id="178"/>
      <w:r w:rsidRPr="0044794B">
        <w:rPr>
          <w:rFonts w:eastAsia="Arial"/>
        </w:rPr>
        <w:t xml:space="preserve"> </w:t>
      </w:r>
    </w:p>
    <w:p w14:paraId="5B127597" w14:textId="20BC1064" w:rsidR="00DC53A5" w:rsidRPr="00DC53A5" w:rsidRDefault="00850844" w:rsidP="00DC53A5">
      <w:pPr>
        <w:spacing w:line="276" w:lineRule="auto"/>
        <w:jc w:val="both"/>
        <w:rPr>
          <w:rFonts w:eastAsia="Arial" w:cstheme="minorHAnsi"/>
          <w:color w:val="2A2A2A"/>
        </w:rPr>
      </w:pPr>
      <w:r>
        <w:rPr>
          <w:rFonts w:eastAsia="Arial" w:cstheme="minorHAnsi"/>
          <w:color w:val="2A2A2A"/>
        </w:rPr>
        <w:t>Due to the</w:t>
      </w:r>
      <w:r w:rsidR="00DC53A5" w:rsidRPr="00DC53A5">
        <w:rPr>
          <w:rFonts w:eastAsia="Arial" w:cstheme="minorHAnsi"/>
          <w:color w:val="2A2A2A"/>
        </w:rPr>
        <w:t xml:space="preserve"> progressive increase in kidney transplantation and improved patient survival</w:t>
      </w:r>
      <w:r>
        <w:rPr>
          <w:rFonts w:eastAsia="Arial" w:cstheme="minorHAnsi"/>
          <w:color w:val="2A2A2A"/>
        </w:rPr>
        <w:t>,</w:t>
      </w:r>
      <w:r w:rsidR="00DC53A5" w:rsidRPr="00DC53A5">
        <w:rPr>
          <w:rFonts w:eastAsia="Arial" w:cstheme="minorHAnsi"/>
          <w:color w:val="2A2A2A"/>
        </w:rPr>
        <w:t xml:space="preserve"> there has been a corresponding increase in recipients with failing kidney transplants (RFKT). </w:t>
      </w:r>
      <w:r w:rsidR="00DC53A5" w:rsidRPr="00DC53A5">
        <w:rPr>
          <w:rFonts w:eastAsia="Arial" w:cstheme="minorHAnsi"/>
        </w:rPr>
        <w:t xml:space="preserve">In the UK </w:t>
      </w:r>
      <w:r w:rsidR="00DC53A5" w:rsidRPr="00DC53A5">
        <w:rPr>
          <w:rFonts w:eastAsia="Arial" w:cstheme="minorHAnsi"/>
          <w:highlight w:val="white"/>
        </w:rPr>
        <w:t>16% of the 38,895 prevalent transplant recipients on 31/12/2020 had a GFR &lt;30 ml/minute/1.73m</w:t>
      </w:r>
      <w:r w:rsidR="00DC53A5" w:rsidRPr="00DC53A5">
        <w:rPr>
          <w:rFonts w:eastAsia="Arial" w:cstheme="minorHAnsi"/>
          <w:highlight w:val="white"/>
          <w:vertAlign w:val="superscript"/>
        </w:rPr>
        <w:t xml:space="preserve">2 </w:t>
      </w:r>
      <w:r w:rsidR="00DC53A5" w:rsidRPr="00DC53A5">
        <w:rPr>
          <w:rFonts w:eastAsia="Arial" w:cstheme="minorHAnsi"/>
          <w:highlight w:val="white"/>
        </w:rPr>
        <w:t>indicating a poorly functioning or failing renal allograft (24</w:t>
      </w:r>
      <w:r w:rsidR="00DC53A5" w:rsidRPr="00DC53A5">
        <w:rPr>
          <w:rFonts w:eastAsia="Arial" w:cstheme="minorHAnsi"/>
          <w:highlight w:val="white"/>
          <w:vertAlign w:val="superscript"/>
        </w:rPr>
        <w:t>th</w:t>
      </w:r>
      <w:r w:rsidR="00DC53A5" w:rsidRPr="00DC53A5">
        <w:rPr>
          <w:rFonts w:eastAsia="Arial" w:cstheme="minorHAnsi"/>
          <w:highlight w:val="white"/>
        </w:rPr>
        <w:t xml:space="preserve"> Renal Registry Report)</w:t>
      </w:r>
      <w:r w:rsidR="00DC53A5" w:rsidRPr="00DC53A5">
        <w:rPr>
          <w:rFonts w:eastAsia="Arial" w:cstheme="minorHAnsi"/>
          <w:color w:val="2A2A2A"/>
          <w:highlight w:val="white"/>
          <w:vertAlign w:val="superscript"/>
        </w:rPr>
        <w:t>1</w:t>
      </w:r>
      <w:r w:rsidR="00DC53A5" w:rsidRPr="00DC53A5">
        <w:rPr>
          <w:rFonts w:eastAsia="Arial" w:cstheme="minorHAnsi"/>
          <w:color w:val="2A2A2A"/>
          <w:highlight w:val="white"/>
        </w:rPr>
        <w:t>.</w:t>
      </w:r>
      <w:r w:rsidR="00DC53A5" w:rsidRPr="00DC53A5">
        <w:rPr>
          <w:rFonts w:eastAsia="Arial" w:cstheme="minorHAnsi"/>
          <w:color w:val="2A2A2A"/>
        </w:rPr>
        <w:t xml:space="preserve"> This is in line with 2018 US Renal Data System (USRDS) report where RFKT represent ~4-5% of the incident dialysis population</w:t>
      </w:r>
      <w:r w:rsidR="00DC53A5" w:rsidRPr="00DC53A5">
        <w:rPr>
          <w:rFonts w:eastAsia="Arial" w:cstheme="minorHAnsi"/>
          <w:color w:val="2A2A2A"/>
          <w:vertAlign w:val="superscript"/>
        </w:rPr>
        <w:t>2</w:t>
      </w:r>
      <w:r w:rsidR="00DC53A5" w:rsidRPr="00DC53A5">
        <w:rPr>
          <w:rFonts w:eastAsia="Arial" w:cstheme="minorHAnsi"/>
          <w:color w:val="2A2A2A"/>
        </w:rPr>
        <w:t>.</w:t>
      </w:r>
    </w:p>
    <w:p w14:paraId="2A8F501C" w14:textId="1F830863" w:rsidR="00DC53A5" w:rsidRPr="00DC53A5" w:rsidRDefault="00DC53A5" w:rsidP="00A005CE">
      <w:pPr>
        <w:spacing w:line="276" w:lineRule="auto"/>
        <w:jc w:val="both"/>
        <w:rPr>
          <w:rFonts w:eastAsia="Arial" w:cstheme="minorHAnsi"/>
          <w:color w:val="2A2A2A"/>
        </w:rPr>
      </w:pPr>
      <w:r w:rsidRPr="00DC53A5">
        <w:rPr>
          <w:rFonts w:eastAsia="Arial" w:cstheme="minorHAnsi"/>
          <w:color w:val="2A2A2A"/>
        </w:rPr>
        <w:t>Table 1</w:t>
      </w:r>
      <w:r>
        <w:rPr>
          <w:rFonts w:eastAsia="Arial" w:cstheme="minorHAnsi"/>
          <w:color w:val="2A2A2A"/>
        </w:rPr>
        <w:t>1</w:t>
      </w:r>
      <w:r w:rsidRPr="00DC53A5">
        <w:rPr>
          <w:rFonts w:eastAsia="Arial" w:cstheme="minorHAnsi"/>
          <w:color w:val="2A2A2A"/>
        </w:rPr>
        <w:t xml:space="preserve">.1 shows the number of </w:t>
      </w:r>
      <w:r w:rsidR="00850844">
        <w:rPr>
          <w:rFonts w:eastAsia="Arial" w:cstheme="minorHAnsi"/>
          <w:color w:val="2A2A2A"/>
        </w:rPr>
        <w:t>kidney-only</w:t>
      </w:r>
      <w:r w:rsidRPr="00DC53A5">
        <w:rPr>
          <w:rFonts w:eastAsia="Arial" w:cstheme="minorHAnsi"/>
          <w:color w:val="2A2A2A"/>
        </w:rPr>
        <w:t xml:space="preserve"> graft failures that have been reported to NHSBT between January 2016 and December 2021. This includes </w:t>
      </w:r>
      <w:r w:rsidR="00850844">
        <w:rPr>
          <w:rFonts w:eastAsia="Arial" w:cstheme="minorHAnsi"/>
          <w:color w:val="2A2A2A"/>
        </w:rPr>
        <w:t>kidney-only</w:t>
      </w:r>
      <w:r w:rsidRPr="00DC53A5">
        <w:rPr>
          <w:rFonts w:eastAsia="Arial" w:cstheme="minorHAnsi"/>
          <w:color w:val="2A2A2A"/>
        </w:rPr>
        <w:t xml:space="preserve"> transplants </w:t>
      </w:r>
      <w:r w:rsidRPr="00DC53A5">
        <w:rPr>
          <w:rFonts w:eastAsia="Arial" w:cstheme="minorHAnsi"/>
        </w:rPr>
        <w:t xml:space="preserve">taking place in the UK </w:t>
      </w:r>
      <w:r w:rsidRPr="00DC53A5">
        <w:rPr>
          <w:rFonts w:eastAsia="Arial" w:cstheme="minorHAnsi"/>
          <w:color w:val="2A2A2A"/>
        </w:rPr>
        <w:t>from any time point but excludes cases where the recipient died with a functioning graft (DWFG). Thus, this represents graft failure due to any other cause other than death. Prior to 2020</w:t>
      </w:r>
      <w:r w:rsidR="00850844">
        <w:rPr>
          <w:rFonts w:eastAsia="Arial" w:cstheme="minorHAnsi"/>
          <w:color w:val="2A2A2A"/>
        </w:rPr>
        <w:t>,</w:t>
      </w:r>
      <w:r w:rsidRPr="00DC53A5">
        <w:rPr>
          <w:rFonts w:eastAsia="Arial" w:cstheme="minorHAnsi"/>
          <w:color w:val="2A2A2A"/>
        </w:rPr>
        <w:t xml:space="preserve"> this had been a relatively consistent number.  The reduction in 2020 may be due to under-reporting because of the COVID-19 pandemic. This highlights the significant number of patients with a failed graft requiring management of their return to renal replacement therapy or conservative care.  </w:t>
      </w:r>
    </w:p>
    <w:p w14:paraId="570110EC" w14:textId="63EB3BC9" w:rsidR="00DC53A5" w:rsidRPr="00DC53A5" w:rsidRDefault="00DC53A5" w:rsidP="00DC53A5">
      <w:pPr>
        <w:spacing w:before="240" w:after="240" w:line="276" w:lineRule="auto"/>
        <w:jc w:val="both"/>
        <w:rPr>
          <w:rFonts w:eastAsia="Arial" w:cstheme="minorHAnsi"/>
          <w:color w:val="2A2A2A"/>
        </w:rPr>
      </w:pPr>
      <w:r w:rsidRPr="0044794B">
        <w:rPr>
          <w:rFonts w:asciiTheme="majorHAnsi" w:eastAsia="Arial" w:hAnsiTheme="majorHAnsi" w:cstheme="majorHAnsi"/>
          <w:b/>
          <w:color w:val="2A2A2A"/>
        </w:rPr>
        <w:t>Table 1</w:t>
      </w:r>
      <w:r>
        <w:rPr>
          <w:rFonts w:asciiTheme="majorHAnsi" w:eastAsia="Arial" w:hAnsiTheme="majorHAnsi" w:cstheme="majorHAnsi"/>
          <w:b/>
          <w:color w:val="2A2A2A"/>
        </w:rPr>
        <w:t>1</w:t>
      </w:r>
      <w:r w:rsidRPr="0044794B">
        <w:rPr>
          <w:rFonts w:asciiTheme="majorHAnsi" w:eastAsia="Arial" w:hAnsiTheme="majorHAnsi" w:cstheme="majorHAnsi"/>
          <w:b/>
          <w:color w:val="2A2A2A"/>
        </w:rPr>
        <w:t>.1</w:t>
      </w:r>
      <w:r w:rsidRPr="0044794B">
        <w:rPr>
          <w:rFonts w:asciiTheme="majorHAnsi" w:eastAsia="Arial" w:hAnsiTheme="majorHAnsi" w:cstheme="majorHAnsi"/>
          <w:color w:val="2A2A2A"/>
        </w:rPr>
        <w:t xml:space="preserve"> </w:t>
      </w:r>
      <w:r w:rsidRPr="00DC53A5">
        <w:rPr>
          <w:rFonts w:eastAsia="Arial" w:cstheme="minorHAnsi"/>
          <w:color w:val="2A2A2A"/>
        </w:rPr>
        <w:t>Annual number of graft failures by donor type excluding DWFG</w:t>
      </w:r>
    </w:p>
    <w:tbl>
      <w:tblPr>
        <w:tblW w:w="9026" w:type="dxa"/>
        <w:jc w:val="center"/>
        <w:tblBorders>
          <w:top w:val="single" w:sz="4" w:space="0" w:color="2A2A2A"/>
          <w:left w:val="single" w:sz="4" w:space="0" w:color="2A2A2A"/>
          <w:bottom w:val="single" w:sz="4" w:space="0" w:color="2A2A2A"/>
          <w:right w:val="single" w:sz="4" w:space="0" w:color="2A2A2A"/>
          <w:insideH w:val="single" w:sz="4" w:space="0" w:color="2A2A2A"/>
          <w:insideV w:val="single" w:sz="4" w:space="0" w:color="2A2A2A"/>
        </w:tblBorders>
        <w:tblLayout w:type="fixed"/>
        <w:tblLook w:val="0600" w:firstRow="0" w:lastRow="0" w:firstColumn="0" w:lastColumn="0" w:noHBand="1" w:noVBand="1"/>
      </w:tblPr>
      <w:tblGrid>
        <w:gridCol w:w="2256"/>
        <w:gridCol w:w="2842"/>
        <w:gridCol w:w="2552"/>
        <w:gridCol w:w="1376"/>
      </w:tblGrid>
      <w:tr w:rsidR="00DC53A5" w:rsidRPr="0044794B" w14:paraId="396FC1A6" w14:textId="77777777" w:rsidTr="00BB35FE">
        <w:trPr>
          <w:jc w:val="center"/>
        </w:trPr>
        <w:tc>
          <w:tcPr>
            <w:tcW w:w="2256" w:type="dxa"/>
            <w:vMerge w:val="restart"/>
            <w:tcBorders>
              <w:top w:val="single" w:sz="4" w:space="0" w:color="2A2A2A"/>
              <w:left w:val="single" w:sz="4" w:space="0" w:color="2A2A2A"/>
              <w:right w:val="single" w:sz="4" w:space="0" w:color="2A2A2A"/>
            </w:tcBorders>
            <w:tcMar>
              <w:top w:w="0" w:type="dxa"/>
              <w:left w:w="0" w:type="dxa"/>
              <w:bottom w:w="0" w:type="dxa"/>
              <w:right w:w="0" w:type="dxa"/>
            </w:tcMar>
            <w:vAlign w:val="center"/>
          </w:tcPr>
          <w:p w14:paraId="5EF303E6" w14:textId="77777777" w:rsidR="00DC53A5" w:rsidRPr="0044794B" w:rsidRDefault="00DC53A5" w:rsidP="00BB35FE">
            <w:pPr>
              <w:spacing w:after="0" w:line="240" w:lineRule="auto"/>
              <w:jc w:val="center"/>
              <w:rPr>
                <w:rFonts w:asciiTheme="majorHAnsi" w:eastAsia="Arial" w:hAnsiTheme="majorHAnsi" w:cstheme="majorHAnsi"/>
                <w:color w:val="2A2A2A"/>
              </w:rPr>
            </w:pPr>
            <w:r w:rsidRPr="0044794B">
              <w:rPr>
                <w:rFonts w:asciiTheme="majorHAnsi" w:eastAsia="Arial" w:hAnsiTheme="majorHAnsi" w:cstheme="majorHAnsi"/>
                <w:b/>
                <w:color w:val="2A2A2A"/>
              </w:rPr>
              <w:t>Year of graft failure</w:t>
            </w:r>
          </w:p>
        </w:tc>
        <w:tc>
          <w:tcPr>
            <w:tcW w:w="6770" w:type="dxa"/>
            <w:gridSpan w:val="3"/>
            <w:tcBorders>
              <w:top w:val="single" w:sz="4" w:space="0" w:color="2A2A2A"/>
              <w:left w:val="single" w:sz="4" w:space="0" w:color="2A2A2A"/>
              <w:bottom w:val="single" w:sz="4" w:space="0" w:color="2A2A2A"/>
              <w:right w:val="single" w:sz="4" w:space="0" w:color="2A2A2A"/>
            </w:tcBorders>
            <w:tcMar>
              <w:top w:w="0" w:type="dxa"/>
              <w:left w:w="0" w:type="dxa"/>
              <w:bottom w:w="0" w:type="dxa"/>
              <w:right w:w="0" w:type="dxa"/>
            </w:tcMar>
            <w:vAlign w:val="bottom"/>
          </w:tcPr>
          <w:p w14:paraId="2BE98A6A" w14:textId="77777777" w:rsidR="00DC53A5" w:rsidRPr="0044794B" w:rsidRDefault="00DC53A5" w:rsidP="00BB35FE">
            <w:pPr>
              <w:spacing w:after="0" w:line="240" w:lineRule="auto"/>
              <w:jc w:val="center"/>
              <w:rPr>
                <w:rFonts w:asciiTheme="majorHAnsi" w:eastAsia="Arial" w:hAnsiTheme="majorHAnsi" w:cstheme="majorHAnsi"/>
                <w:b/>
                <w:color w:val="2A2A2A"/>
              </w:rPr>
            </w:pPr>
            <w:r w:rsidRPr="0044794B">
              <w:rPr>
                <w:rFonts w:asciiTheme="majorHAnsi" w:eastAsia="Arial" w:hAnsiTheme="majorHAnsi" w:cstheme="majorHAnsi"/>
                <w:b/>
                <w:color w:val="2A2A2A"/>
              </w:rPr>
              <w:t>Number of graft failures</w:t>
            </w:r>
          </w:p>
        </w:tc>
      </w:tr>
      <w:tr w:rsidR="00DC53A5" w:rsidRPr="0044794B" w14:paraId="19B6103C" w14:textId="77777777" w:rsidTr="00BB35FE">
        <w:trPr>
          <w:trHeight w:val="195"/>
          <w:jc w:val="center"/>
        </w:trPr>
        <w:tc>
          <w:tcPr>
            <w:tcW w:w="2256" w:type="dxa"/>
            <w:vMerge/>
            <w:tcBorders>
              <w:left w:val="single" w:sz="4" w:space="0" w:color="2A2A2A"/>
              <w:bottom w:val="single" w:sz="4" w:space="0" w:color="2A2A2A"/>
              <w:right w:val="single" w:sz="4" w:space="0" w:color="2A2A2A"/>
            </w:tcBorders>
            <w:shd w:val="clear" w:color="auto" w:fill="auto"/>
            <w:tcMar>
              <w:top w:w="0" w:type="dxa"/>
              <w:left w:w="0" w:type="dxa"/>
              <w:bottom w:w="0" w:type="dxa"/>
              <w:right w:w="0" w:type="dxa"/>
            </w:tcMar>
            <w:vAlign w:val="center"/>
          </w:tcPr>
          <w:p w14:paraId="0F64DF8A" w14:textId="77777777" w:rsidR="00DC53A5" w:rsidRPr="0044794B" w:rsidRDefault="00DC53A5" w:rsidP="00BB35FE">
            <w:pPr>
              <w:spacing w:after="0" w:line="240" w:lineRule="auto"/>
              <w:jc w:val="center"/>
              <w:rPr>
                <w:rFonts w:asciiTheme="majorHAnsi" w:eastAsia="Arial" w:hAnsiTheme="majorHAnsi" w:cstheme="majorHAnsi"/>
                <w:b/>
                <w:color w:val="2A2A2A"/>
              </w:rPr>
            </w:pPr>
          </w:p>
        </w:tc>
        <w:tc>
          <w:tcPr>
            <w:tcW w:w="2842" w:type="dxa"/>
            <w:tcBorders>
              <w:top w:val="single" w:sz="4" w:space="0" w:color="2A2A2A"/>
              <w:left w:val="single" w:sz="4" w:space="0" w:color="2A2A2A"/>
              <w:bottom w:val="single" w:sz="4" w:space="0" w:color="2A2A2A"/>
              <w:right w:val="single" w:sz="4" w:space="0" w:color="2A2A2A"/>
            </w:tcBorders>
            <w:shd w:val="clear" w:color="auto" w:fill="auto"/>
            <w:tcMar>
              <w:top w:w="0" w:type="dxa"/>
              <w:left w:w="0" w:type="dxa"/>
              <w:bottom w:w="0" w:type="dxa"/>
              <w:right w:w="0" w:type="dxa"/>
            </w:tcMar>
            <w:vAlign w:val="bottom"/>
          </w:tcPr>
          <w:p w14:paraId="2BE069A1" w14:textId="77777777" w:rsidR="00DC53A5" w:rsidRPr="0044794B" w:rsidRDefault="00DC53A5" w:rsidP="00BB35FE">
            <w:pPr>
              <w:spacing w:after="0" w:line="240" w:lineRule="auto"/>
              <w:jc w:val="center"/>
              <w:rPr>
                <w:rFonts w:asciiTheme="majorHAnsi" w:eastAsia="Arial" w:hAnsiTheme="majorHAnsi" w:cstheme="majorHAnsi"/>
                <w:b/>
                <w:color w:val="2A2A2A"/>
              </w:rPr>
            </w:pPr>
            <w:r w:rsidRPr="0044794B">
              <w:rPr>
                <w:rFonts w:asciiTheme="majorHAnsi" w:eastAsia="Arial" w:hAnsiTheme="majorHAnsi" w:cstheme="majorHAnsi"/>
                <w:b/>
                <w:color w:val="2A2A2A"/>
              </w:rPr>
              <w:t>Deceased donor transplant</w:t>
            </w:r>
          </w:p>
        </w:tc>
        <w:tc>
          <w:tcPr>
            <w:tcW w:w="2552" w:type="dxa"/>
            <w:tcBorders>
              <w:top w:val="single" w:sz="4" w:space="0" w:color="2A2A2A"/>
              <w:left w:val="single" w:sz="4" w:space="0" w:color="2A2A2A"/>
              <w:bottom w:val="single" w:sz="4" w:space="0" w:color="2A2A2A"/>
              <w:right w:val="single" w:sz="4" w:space="0" w:color="2A2A2A"/>
            </w:tcBorders>
            <w:shd w:val="clear" w:color="auto" w:fill="auto"/>
            <w:tcMar>
              <w:top w:w="0" w:type="dxa"/>
              <w:left w:w="0" w:type="dxa"/>
              <w:bottom w:w="0" w:type="dxa"/>
              <w:right w:w="0" w:type="dxa"/>
            </w:tcMar>
            <w:vAlign w:val="center"/>
          </w:tcPr>
          <w:p w14:paraId="5B411DAD" w14:textId="77777777" w:rsidR="00DC53A5" w:rsidRPr="0044794B" w:rsidRDefault="00DC53A5" w:rsidP="00BB35FE">
            <w:pPr>
              <w:spacing w:after="0" w:line="240" w:lineRule="auto"/>
              <w:jc w:val="center"/>
              <w:rPr>
                <w:rFonts w:asciiTheme="majorHAnsi" w:eastAsia="Arial" w:hAnsiTheme="majorHAnsi" w:cstheme="majorHAnsi"/>
                <w:b/>
                <w:color w:val="2A2A2A"/>
              </w:rPr>
            </w:pPr>
            <w:r w:rsidRPr="0044794B">
              <w:rPr>
                <w:rFonts w:asciiTheme="majorHAnsi" w:eastAsia="Arial" w:hAnsiTheme="majorHAnsi" w:cstheme="majorHAnsi"/>
                <w:b/>
                <w:color w:val="2A2A2A"/>
              </w:rPr>
              <w:t>Living donor transplant</w:t>
            </w:r>
          </w:p>
        </w:tc>
        <w:tc>
          <w:tcPr>
            <w:tcW w:w="1376" w:type="dxa"/>
            <w:tcBorders>
              <w:top w:val="single" w:sz="4" w:space="0" w:color="2A2A2A"/>
              <w:left w:val="single" w:sz="4" w:space="0" w:color="2A2A2A"/>
              <w:bottom w:val="single" w:sz="4" w:space="0" w:color="2A2A2A"/>
              <w:right w:val="single" w:sz="4" w:space="0" w:color="2A2A2A"/>
            </w:tcBorders>
            <w:shd w:val="clear" w:color="auto" w:fill="auto"/>
            <w:tcMar>
              <w:top w:w="0" w:type="dxa"/>
              <w:left w:w="0" w:type="dxa"/>
              <w:bottom w:w="0" w:type="dxa"/>
              <w:right w:w="0" w:type="dxa"/>
            </w:tcMar>
            <w:vAlign w:val="center"/>
          </w:tcPr>
          <w:p w14:paraId="6C1C6E08" w14:textId="77777777" w:rsidR="00DC53A5" w:rsidRPr="0044794B" w:rsidRDefault="00DC53A5" w:rsidP="00BB35FE">
            <w:pPr>
              <w:spacing w:after="0" w:line="240" w:lineRule="auto"/>
              <w:jc w:val="center"/>
              <w:rPr>
                <w:rFonts w:asciiTheme="majorHAnsi" w:eastAsia="Arial" w:hAnsiTheme="majorHAnsi" w:cstheme="majorHAnsi"/>
                <w:b/>
                <w:color w:val="2A2A2A"/>
              </w:rPr>
            </w:pPr>
            <w:r w:rsidRPr="0044794B">
              <w:rPr>
                <w:rFonts w:asciiTheme="majorHAnsi" w:eastAsia="Arial" w:hAnsiTheme="majorHAnsi" w:cstheme="majorHAnsi"/>
                <w:b/>
                <w:color w:val="2A2A2A"/>
              </w:rPr>
              <w:t>Total</w:t>
            </w:r>
          </w:p>
        </w:tc>
      </w:tr>
      <w:tr w:rsidR="00DC53A5" w:rsidRPr="0044794B" w14:paraId="24407B5D" w14:textId="77777777" w:rsidTr="00BB35FE">
        <w:trPr>
          <w:trHeight w:val="1383"/>
          <w:jc w:val="center"/>
        </w:trPr>
        <w:tc>
          <w:tcPr>
            <w:tcW w:w="2256" w:type="dxa"/>
            <w:tcBorders>
              <w:top w:val="single" w:sz="4" w:space="0" w:color="2A2A2A"/>
              <w:left w:val="single" w:sz="4" w:space="0" w:color="2A2A2A"/>
              <w:right w:val="single" w:sz="4" w:space="0" w:color="2A2A2A"/>
            </w:tcBorders>
            <w:shd w:val="clear" w:color="auto" w:fill="auto"/>
            <w:tcMar>
              <w:top w:w="0" w:type="dxa"/>
              <w:left w:w="0" w:type="dxa"/>
              <w:bottom w:w="0" w:type="dxa"/>
              <w:right w:w="0" w:type="dxa"/>
            </w:tcMar>
          </w:tcPr>
          <w:p w14:paraId="789993DA" w14:textId="77777777" w:rsidR="00DC53A5" w:rsidRPr="00DC53A5" w:rsidRDefault="00DC53A5" w:rsidP="00BB35FE">
            <w:pPr>
              <w:spacing w:after="0" w:line="240" w:lineRule="auto"/>
              <w:jc w:val="center"/>
              <w:rPr>
                <w:rFonts w:eastAsia="Arial" w:cstheme="minorHAnsi"/>
                <w:color w:val="2A2A2A"/>
              </w:rPr>
            </w:pPr>
            <w:r w:rsidRPr="00DC53A5">
              <w:rPr>
                <w:rFonts w:eastAsia="Arial" w:cstheme="minorHAnsi"/>
                <w:color w:val="2A2A2A"/>
              </w:rPr>
              <w:t>2016</w:t>
            </w:r>
          </w:p>
          <w:p w14:paraId="36CA0C08" w14:textId="77777777" w:rsidR="00DC53A5" w:rsidRPr="00DC53A5" w:rsidRDefault="00DC53A5" w:rsidP="00BB35FE">
            <w:pPr>
              <w:spacing w:after="0" w:line="240" w:lineRule="auto"/>
              <w:jc w:val="center"/>
              <w:rPr>
                <w:rFonts w:eastAsia="Arial" w:cstheme="minorHAnsi"/>
                <w:color w:val="2A2A2A"/>
              </w:rPr>
            </w:pPr>
            <w:r w:rsidRPr="00DC53A5">
              <w:rPr>
                <w:rFonts w:eastAsia="Arial" w:cstheme="minorHAnsi"/>
                <w:color w:val="2A2A2A"/>
              </w:rPr>
              <w:t>2017</w:t>
            </w:r>
          </w:p>
          <w:p w14:paraId="003C4FE0" w14:textId="77777777" w:rsidR="00DC53A5" w:rsidRPr="00DC53A5" w:rsidRDefault="00DC53A5" w:rsidP="00BB35FE">
            <w:pPr>
              <w:spacing w:after="0" w:line="240" w:lineRule="auto"/>
              <w:jc w:val="center"/>
              <w:rPr>
                <w:rFonts w:eastAsia="Arial" w:cstheme="minorHAnsi"/>
                <w:color w:val="2A2A2A"/>
              </w:rPr>
            </w:pPr>
            <w:r w:rsidRPr="00DC53A5">
              <w:rPr>
                <w:rFonts w:eastAsia="Arial" w:cstheme="minorHAnsi"/>
                <w:color w:val="2A2A2A"/>
              </w:rPr>
              <w:t>2018</w:t>
            </w:r>
          </w:p>
          <w:p w14:paraId="24D0E3FF" w14:textId="77777777" w:rsidR="00DC53A5" w:rsidRPr="00DC53A5" w:rsidRDefault="00DC53A5" w:rsidP="00BB35FE">
            <w:pPr>
              <w:spacing w:after="0" w:line="240" w:lineRule="auto"/>
              <w:jc w:val="center"/>
              <w:rPr>
                <w:rFonts w:eastAsia="Arial" w:cstheme="minorHAnsi"/>
                <w:color w:val="2A2A2A"/>
              </w:rPr>
            </w:pPr>
            <w:r w:rsidRPr="00DC53A5">
              <w:rPr>
                <w:rFonts w:eastAsia="Arial" w:cstheme="minorHAnsi"/>
                <w:color w:val="2A2A2A"/>
              </w:rPr>
              <w:t>2019</w:t>
            </w:r>
          </w:p>
          <w:p w14:paraId="7CC77A23" w14:textId="77777777" w:rsidR="00DC53A5" w:rsidRPr="00DC53A5" w:rsidRDefault="00DC53A5" w:rsidP="00BB35FE">
            <w:pPr>
              <w:spacing w:after="0" w:line="240" w:lineRule="auto"/>
              <w:jc w:val="center"/>
              <w:rPr>
                <w:rFonts w:eastAsia="Arial" w:cstheme="minorHAnsi"/>
                <w:color w:val="2A2A2A"/>
              </w:rPr>
            </w:pPr>
            <w:r w:rsidRPr="00DC53A5">
              <w:rPr>
                <w:rFonts w:eastAsia="Arial" w:cstheme="minorHAnsi"/>
                <w:color w:val="2A2A2A"/>
              </w:rPr>
              <w:t>2020</w:t>
            </w:r>
          </w:p>
        </w:tc>
        <w:tc>
          <w:tcPr>
            <w:tcW w:w="2842" w:type="dxa"/>
            <w:tcBorders>
              <w:top w:val="single" w:sz="4" w:space="0" w:color="2A2A2A"/>
              <w:left w:val="single" w:sz="4" w:space="0" w:color="2A2A2A"/>
              <w:right w:val="single" w:sz="4" w:space="0" w:color="2A2A2A"/>
            </w:tcBorders>
            <w:shd w:val="clear" w:color="auto" w:fill="auto"/>
            <w:tcMar>
              <w:top w:w="0" w:type="dxa"/>
              <w:left w:w="0" w:type="dxa"/>
              <w:bottom w:w="0" w:type="dxa"/>
              <w:right w:w="0" w:type="dxa"/>
            </w:tcMar>
            <w:vAlign w:val="bottom"/>
          </w:tcPr>
          <w:p w14:paraId="0BA58A67" w14:textId="77777777" w:rsidR="00DC53A5" w:rsidRPr="00DC53A5" w:rsidRDefault="00DC53A5" w:rsidP="00BB35FE">
            <w:pPr>
              <w:spacing w:after="0" w:line="240" w:lineRule="auto"/>
              <w:jc w:val="center"/>
              <w:rPr>
                <w:rFonts w:eastAsia="Arial" w:cstheme="minorHAnsi"/>
                <w:color w:val="2A2A2A"/>
              </w:rPr>
            </w:pPr>
            <w:r w:rsidRPr="00DC53A5">
              <w:rPr>
                <w:rFonts w:eastAsia="Arial" w:cstheme="minorHAnsi"/>
                <w:color w:val="2A2A2A"/>
              </w:rPr>
              <w:t>685</w:t>
            </w:r>
          </w:p>
          <w:p w14:paraId="68BB444B" w14:textId="77777777" w:rsidR="00DC53A5" w:rsidRPr="00DC53A5" w:rsidRDefault="00DC53A5" w:rsidP="00BB35FE">
            <w:pPr>
              <w:spacing w:after="0" w:line="240" w:lineRule="auto"/>
              <w:jc w:val="center"/>
              <w:rPr>
                <w:rFonts w:eastAsia="Arial" w:cstheme="minorHAnsi"/>
                <w:color w:val="2A2A2A"/>
              </w:rPr>
            </w:pPr>
            <w:r w:rsidRPr="00DC53A5">
              <w:rPr>
                <w:rFonts w:eastAsia="Arial" w:cstheme="minorHAnsi"/>
                <w:color w:val="2A2A2A"/>
              </w:rPr>
              <w:t>666</w:t>
            </w:r>
          </w:p>
          <w:p w14:paraId="7337D7E5" w14:textId="77777777" w:rsidR="00DC53A5" w:rsidRPr="00DC53A5" w:rsidRDefault="00DC53A5" w:rsidP="00BB35FE">
            <w:pPr>
              <w:spacing w:after="0" w:line="240" w:lineRule="auto"/>
              <w:jc w:val="center"/>
              <w:rPr>
                <w:rFonts w:eastAsia="Arial" w:cstheme="minorHAnsi"/>
                <w:color w:val="2A2A2A"/>
              </w:rPr>
            </w:pPr>
            <w:r w:rsidRPr="00DC53A5">
              <w:rPr>
                <w:rFonts w:eastAsia="Arial" w:cstheme="minorHAnsi"/>
                <w:color w:val="2A2A2A"/>
              </w:rPr>
              <w:t>711</w:t>
            </w:r>
          </w:p>
          <w:p w14:paraId="4062668D" w14:textId="77777777" w:rsidR="00DC53A5" w:rsidRPr="00DC53A5" w:rsidRDefault="00DC53A5" w:rsidP="00BB35FE">
            <w:pPr>
              <w:spacing w:after="0" w:line="240" w:lineRule="auto"/>
              <w:jc w:val="center"/>
              <w:rPr>
                <w:rFonts w:eastAsia="Arial" w:cstheme="minorHAnsi"/>
                <w:color w:val="2A2A2A"/>
              </w:rPr>
            </w:pPr>
            <w:r w:rsidRPr="00DC53A5">
              <w:rPr>
                <w:rFonts w:eastAsia="Arial" w:cstheme="minorHAnsi"/>
                <w:color w:val="2A2A2A"/>
              </w:rPr>
              <w:t>672</w:t>
            </w:r>
          </w:p>
          <w:p w14:paraId="1A04FA87" w14:textId="77777777" w:rsidR="00DC53A5" w:rsidRPr="00DC53A5" w:rsidRDefault="00DC53A5" w:rsidP="00BB35FE">
            <w:pPr>
              <w:spacing w:after="0" w:line="240" w:lineRule="auto"/>
              <w:jc w:val="center"/>
              <w:rPr>
                <w:rFonts w:eastAsia="Arial" w:cstheme="minorHAnsi"/>
                <w:color w:val="2A2A2A"/>
              </w:rPr>
            </w:pPr>
            <w:r w:rsidRPr="00DC53A5">
              <w:rPr>
                <w:rFonts w:eastAsia="Arial" w:cstheme="minorHAnsi"/>
                <w:color w:val="2A2A2A"/>
              </w:rPr>
              <w:t>492</w:t>
            </w:r>
          </w:p>
        </w:tc>
        <w:tc>
          <w:tcPr>
            <w:tcW w:w="2552" w:type="dxa"/>
            <w:tcBorders>
              <w:top w:val="single" w:sz="4" w:space="0" w:color="2A2A2A"/>
              <w:left w:val="single" w:sz="4" w:space="0" w:color="2A2A2A"/>
              <w:right w:val="single" w:sz="4" w:space="0" w:color="2A2A2A"/>
            </w:tcBorders>
            <w:shd w:val="clear" w:color="auto" w:fill="auto"/>
            <w:tcMar>
              <w:top w:w="0" w:type="dxa"/>
              <w:left w:w="0" w:type="dxa"/>
              <w:bottom w:w="0" w:type="dxa"/>
              <w:right w:w="0" w:type="dxa"/>
            </w:tcMar>
            <w:vAlign w:val="bottom"/>
          </w:tcPr>
          <w:p w14:paraId="4C0BD593" w14:textId="77777777" w:rsidR="00DC53A5" w:rsidRPr="00DC53A5" w:rsidRDefault="00DC53A5" w:rsidP="00BB35FE">
            <w:pPr>
              <w:spacing w:after="0" w:line="240" w:lineRule="auto"/>
              <w:jc w:val="center"/>
              <w:rPr>
                <w:rFonts w:eastAsia="Arial" w:cstheme="minorHAnsi"/>
                <w:color w:val="2A2A2A"/>
              </w:rPr>
            </w:pPr>
            <w:r w:rsidRPr="00DC53A5">
              <w:rPr>
                <w:rFonts w:eastAsia="Arial" w:cstheme="minorHAnsi"/>
                <w:color w:val="2A2A2A"/>
              </w:rPr>
              <w:t>197</w:t>
            </w:r>
          </w:p>
          <w:p w14:paraId="7D0D3BA5" w14:textId="77777777" w:rsidR="00DC53A5" w:rsidRPr="00DC53A5" w:rsidRDefault="00DC53A5" w:rsidP="00BB35FE">
            <w:pPr>
              <w:spacing w:after="0" w:line="240" w:lineRule="auto"/>
              <w:jc w:val="center"/>
              <w:rPr>
                <w:rFonts w:eastAsia="Arial" w:cstheme="minorHAnsi"/>
                <w:color w:val="2A2A2A"/>
              </w:rPr>
            </w:pPr>
            <w:r w:rsidRPr="00DC53A5">
              <w:rPr>
                <w:rFonts w:eastAsia="Arial" w:cstheme="minorHAnsi"/>
                <w:color w:val="2A2A2A"/>
              </w:rPr>
              <w:t>228</w:t>
            </w:r>
          </w:p>
          <w:p w14:paraId="7FB62193" w14:textId="77777777" w:rsidR="00DC53A5" w:rsidRPr="00DC53A5" w:rsidRDefault="00DC53A5" w:rsidP="00BB35FE">
            <w:pPr>
              <w:spacing w:after="0" w:line="240" w:lineRule="auto"/>
              <w:jc w:val="center"/>
              <w:rPr>
                <w:rFonts w:eastAsia="Arial" w:cstheme="minorHAnsi"/>
                <w:color w:val="2A2A2A"/>
              </w:rPr>
            </w:pPr>
            <w:r w:rsidRPr="00DC53A5">
              <w:rPr>
                <w:rFonts w:eastAsia="Arial" w:cstheme="minorHAnsi"/>
                <w:color w:val="2A2A2A"/>
              </w:rPr>
              <w:t>232</w:t>
            </w:r>
          </w:p>
          <w:p w14:paraId="0932EF54" w14:textId="77777777" w:rsidR="00DC53A5" w:rsidRPr="00DC53A5" w:rsidRDefault="00DC53A5" w:rsidP="00BB35FE">
            <w:pPr>
              <w:spacing w:after="0" w:line="240" w:lineRule="auto"/>
              <w:jc w:val="center"/>
              <w:rPr>
                <w:rFonts w:eastAsia="Arial" w:cstheme="minorHAnsi"/>
                <w:color w:val="2A2A2A"/>
              </w:rPr>
            </w:pPr>
            <w:r w:rsidRPr="00DC53A5">
              <w:rPr>
                <w:rFonts w:eastAsia="Arial" w:cstheme="minorHAnsi"/>
                <w:color w:val="2A2A2A"/>
              </w:rPr>
              <w:t>247</w:t>
            </w:r>
          </w:p>
          <w:p w14:paraId="021424CA" w14:textId="77777777" w:rsidR="00DC53A5" w:rsidRPr="00DC53A5" w:rsidRDefault="00DC53A5" w:rsidP="00BB35FE">
            <w:pPr>
              <w:spacing w:after="0" w:line="240" w:lineRule="auto"/>
              <w:jc w:val="center"/>
              <w:rPr>
                <w:rFonts w:eastAsia="Arial" w:cstheme="minorHAnsi"/>
                <w:color w:val="2A2A2A"/>
              </w:rPr>
            </w:pPr>
            <w:r w:rsidRPr="00DC53A5">
              <w:rPr>
                <w:rFonts w:eastAsia="Arial" w:cstheme="minorHAnsi"/>
                <w:color w:val="2A2A2A"/>
              </w:rPr>
              <w:t>201</w:t>
            </w:r>
          </w:p>
        </w:tc>
        <w:tc>
          <w:tcPr>
            <w:tcW w:w="1376" w:type="dxa"/>
            <w:tcBorders>
              <w:top w:val="single" w:sz="4" w:space="0" w:color="2A2A2A"/>
              <w:left w:val="single" w:sz="4" w:space="0" w:color="2A2A2A"/>
              <w:right w:val="single" w:sz="4" w:space="0" w:color="2A2A2A"/>
            </w:tcBorders>
            <w:shd w:val="clear" w:color="auto" w:fill="auto"/>
            <w:tcMar>
              <w:top w:w="0" w:type="dxa"/>
              <w:left w:w="0" w:type="dxa"/>
              <w:bottom w:w="0" w:type="dxa"/>
              <w:right w:w="0" w:type="dxa"/>
            </w:tcMar>
            <w:vAlign w:val="bottom"/>
          </w:tcPr>
          <w:p w14:paraId="59D4007E" w14:textId="77777777" w:rsidR="00DC53A5" w:rsidRPr="00DC53A5" w:rsidRDefault="00DC53A5" w:rsidP="00BB35FE">
            <w:pPr>
              <w:spacing w:after="0" w:line="240" w:lineRule="auto"/>
              <w:jc w:val="center"/>
              <w:rPr>
                <w:rFonts w:eastAsia="Arial" w:cstheme="minorHAnsi"/>
                <w:color w:val="2A2A2A"/>
              </w:rPr>
            </w:pPr>
            <w:r w:rsidRPr="00DC53A5">
              <w:rPr>
                <w:rFonts w:eastAsia="Arial" w:cstheme="minorHAnsi"/>
                <w:color w:val="2A2A2A"/>
              </w:rPr>
              <w:t>882</w:t>
            </w:r>
          </w:p>
          <w:p w14:paraId="3523DAF0" w14:textId="77777777" w:rsidR="00DC53A5" w:rsidRPr="00DC53A5" w:rsidRDefault="00DC53A5" w:rsidP="00BB35FE">
            <w:pPr>
              <w:spacing w:after="0" w:line="240" w:lineRule="auto"/>
              <w:jc w:val="center"/>
              <w:rPr>
                <w:rFonts w:eastAsia="Arial" w:cstheme="minorHAnsi"/>
                <w:color w:val="2A2A2A"/>
              </w:rPr>
            </w:pPr>
            <w:r w:rsidRPr="00DC53A5">
              <w:rPr>
                <w:rFonts w:eastAsia="Arial" w:cstheme="minorHAnsi"/>
                <w:color w:val="2A2A2A"/>
              </w:rPr>
              <w:t>894</w:t>
            </w:r>
          </w:p>
          <w:p w14:paraId="3B92E8A7" w14:textId="77777777" w:rsidR="00DC53A5" w:rsidRPr="00DC53A5" w:rsidRDefault="00DC53A5" w:rsidP="00BB35FE">
            <w:pPr>
              <w:spacing w:after="0" w:line="240" w:lineRule="auto"/>
              <w:jc w:val="center"/>
              <w:rPr>
                <w:rFonts w:eastAsia="Arial" w:cstheme="minorHAnsi"/>
                <w:color w:val="2A2A2A"/>
              </w:rPr>
            </w:pPr>
            <w:r w:rsidRPr="00DC53A5">
              <w:rPr>
                <w:rFonts w:eastAsia="Arial" w:cstheme="minorHAnsi"/>
                <w:color w:val="2A2A2A"/>
              </w:rPr>
              <w:t>943</w:t>
            </w:r>
          </w:p>
          <w:p w14:paraId="0DF422BE" w14:textId="77777777" w:rsidR="00DC53A5" w:rsidRPr="00DC53A5" w:rsidRDefault="00DC53A5" w:rsidP="00BB35FE">
            <w:pPr>
              <w:spacing w:after="0" w:line="240" w:lineRule="auto"/>
              <w:jc w:val="center"/>
              <w:rPr>
                <w:rFonts w:eastAsia="Arial" w:cstheme="minorHAnsi"/>
                <w:color w:val="2A2A2A"/>
              </w:rPr>
            </w:pPr>
            <w:r w:rsidRPr="00DC53A5">
              <w:rPr>
                <w:rFonts w:eastAsia="Arial" w:cstheme="minorHAnsi"/>
                <w:color w:val="2A2A2A"/>
              </w:rPr>
              <w:t>919</w:t>
            </w:r>
          </w:p>
          <w:p w14:paraId="69E57EDB" w14:textId="77777777" w:rsidR="00DC53A5" w:rsidRPr="00DC53A5" w:rsidRDefault="00DC53A5" w:rsidP="00BB35FE">
            <w:pPr>
              <w:spacing w:after="0" w:line="240" w:lineRule="auto"/>
              <w:jc w:val="center"/>
              <w:rPr>
                <w:rFonts w:eastAsia="Arial" w:cstheme="minorHAnsi"/>
                <w:color w:val="2A2A2A"/>
              </w:rPr>
            </w:pPr>
            <w:r w:rsidRPr="00DC53A5">
              <w:rPr>
                <w:rFonts w:eastAsia="Arial" w:cstheme="minorHAnsi"/>
                <w:color w:val="2A2A2A"/>
              </w:rPr>
              <w:t>693</w:t>
            </w:r>
          </w:p>
        </w:tc>
      </w:tr>
    </w:tbl>
    <w:p w14:paraId="004249E2" w14:textId="77777777" w:rsidR="00DC53A5" w:rsidRDefault="00DC53A5" w:rsidP="00DC53A5">
      <w:pPr>
        <w:spacing w:line="276" w:lineRule="auto"/>
        <w:jc w:val="both"/>
        <w:rPr>
          <w:rFonts w:eastAsia="Arial" w:cstheme="minorHAnsi"/>
          <w:color w:val="2A2A2A"/>
        </w:rPr>
      </w:pPr>
    </w:p>
    <w:p w14:paraId="43D4E76B" w14:textId="1ED02E66" w:rsidR="00DC53A5" w:rsidRPr="00DC53A5" w:rsidRDefault="00DC53A5" w:rsidP="00DC53A5">
      <w:pPr>
        <w:spacing w:line="276" w:lineRule="auto"/>
        <w:jc w:val="both"/>
        <w:rPr>
          <w:rFonts w:eastAsia="Arial" w:cstheme="minorHAnsi"/>
          <w:b/>
          <w:color w:val="2A2A2A"/>
        </w:rPr>
      </w:pPr>
      <w:r w:rsidRPr="00DC53A5">
        <w:rPr>
          <w:rFonts w:eastAsia="Arial" w:cstheme="minorHAnsi"/>
          <w:color w:val="2A2A2A"/>
        </w:rPr>
        <w:t>The median age of recipients at the time of graft failure is similar, regardless of whether this was a first or re-graft, or whether the donor was deceased or living (Table 1</w:t>
      </w:r>
      <w:r w:rsidR="00F5715E">
        <w:rPr>
          <w:rFonts w:eastAsia="Arial" w:cstheme="minorHAnsi"/>
          <w:color w:val="2A2A2A"/>
        </w:rPr>
        <w:t>1</w:t>
      </w:r>
      <w:r w:rsidRPr="00DC53A5">
        <w:rPr>
          <w:rFonts w:eastAsia="Arial" w:cstheme="minorHAnsi"/>
          <w:color w:val="2A2A2A"/>
        </w:rPr>
        <w:t>.2). This is due to the number of recipients that have repeated transplants at a young age. The table includes grafts with a date of failure between January 2016 and December 2020, but the transplant may have occurred at any time prior. In this cohort</w:t>
      </w:r>
      <w:r w:rsidR="00850844">
        <w:rPr>
          <w:rFonts w:eastAsia="Arial" w:cstheme="minorHAnsi"/>
          <w:color w:val="2A2A2A"/>
        </w:rPr>
        <w:t>,</w:t>
      </w:r>
      <w:r w:rsidRPr="00DC53A5">
        <w:rPr>
          <w:rFonts w:eastAsia="Arial" w:cstheme="minorHAnsi"/>
          <w:color w:val="2A2A2A"/>
        </w:rPr>
        <w:t xml:space="preserve"> the median age for each subsequent transplant is </w:t>
      </w:r>
      <w:proofErr w:type="gramStart"/>
      <w:r w:rsidRPr="00DC53A5">
        <w:rPr>
          <w:rFonts w:eastAsia="Arial" w:cstheme="minorHAnsi"/>
          <w:color w:val="2A2A2A"/>
        </w:rPr>
        <w:t>similar to</w:t>
      </w:r>
      <w:proofErr w:type="gramEnd"/>
      <w:r w:rsidRPr="00DC53A5">
        <w:rPr>
          <w:rFonts w:eastAsia="Arial" w:cstheme="minorHAnsi"/>
          <w:color w:val="2A2A2A"/>
        </w:rPr>
        <w:t xml:space="preserve"> those experiencing first graft failure. This likely represents skew due to the greater number of transplants in paediatric recipients, where non-adherence is more likely to be a key factor in graft loss.  In addition, only the youngest patients will have sufficient life years to be able to have repeated transplants (&gt;2). </w:t>
      </w:r>
    </w:p>
    <w:p w14:paraId="59BECD8F" w14:textId="0066CC85" w:rsidR="00DC53A5" w:rsidRDefault="00DC53A5" w:rsidP="00D26FEE">
      <w:pPr>
        <w:contextualSpacing/>
        <w:jc w:val="both"/>
        <w:rPr>
          <w:rFonts w:eastAsia="Arial" w:cstheme="minorHAnsi"/>
          <w:color w:val="2A2A2A"/>
        </w:rPr>
      </w:pPr>
      <w:r w:rsidRPr="0044794B">
        <w:rPr>
          <w:rFonts w:asciiTheme="majorHAnsi" w:eastAsia="Arial" w:hAnsiTheme="majorHAnsi" w:cstheme="majorHAnsi"/>
          <w:b/>
          <w:color w:val="2A2A2A"/>
        </w:rPr>
        <w:t>Table 1</w:t>
      </w:r>
      <w:r w:rsidR="00384CDB">
        <w:rPr>
          <w:rFonts w:asciiTheme="majorHAnsi" w:eastAsia="Arial" w:hAnsiTheme="majorHAnsi" w:cstheme="majorHAnsi"/>
          <w:b/>
          <w:color w:val="2A2A2A"/>
        </w:rPr>
        <w:t>1</w:t>
      </w:r>
      <w:r w:rsidRPr="0044794B">
        <w:rPr>
          <w:rFonts w:asciiTheme="majorHAnsi" w:eastAsia="Arial" w:hAnsiTheme="majorHAnsi" w:cstheme="majorHAnsi"/>
          <w:b/>
          <w:color w:val="2A2A2A"/>
        </w:rPr>
        <w:t xml:space="preserve">.2 </w:t>
      </w:r>
      <w:r w:rsidRPr="00DC53A5">
        <w:rPr>
          <w:rFonts w:eastAsia="Arial" w:cstheme="minorHAnsi"/>
          <w:color w:val="2A2A2A"/>
        </w:rPr>
        <w:t xml:space="preserve">Median age at </w:t>
      </w:r>
      <w:r w:rsidR="00850844">
        <w:rPr>
          <w:rFonts w:eastAsia="Arial" w:cstheme="minorHAnsi"/>
          <w:color w:val="2A2A2A"/>
        </w:rPr>
        <w:t xml:space="preserve">the </w:t>
      </w:r>
      <w:r w:rsidRPr="00DC53A5">
        <w:rPr>
          <w:rFonts w:eastAsia="Arial" w:cstheme="minorHAnsi"/>
          <w:color w:val="2A2A2A"/>
        </w:rPr>
        <w:t xml:space="preserve">time of transplant and subsequent graft failure, failed grafts 1/1/16 – 31/12/20 </w:t>
      </w:r>
    </w:p>
    <w:p w14:paraId="5CB81AF8" w14:textId="77777777" w:rsidR="00D26FEE" w:rsidRPr="00DC53A5" w:rsidRDefault="00D26FEE" w:rsidP="00D26FEE">
      <w:pPr>
        <w:contextualSpacing/>
        <w:jc w:val="both"/>
        <w:rPr>
          <w:rFonts w:eastAsia="Arial" w:cstheme="minorHAnsi"/>
          <w:color w:val="2A2A2A"/>
        </w:rPr>
      </w:pPr>
    </w:p>
    <w:tbl>
      <w:tblPr>
        <w:tblW w:w="8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46"/>
        <w:gridCol w:w="567"/>
        <w:gridCol w:w="1417"/>
        <w:gridCol w:w="1134"/>
        <w:gridCol w:w="851"/>
        <w:gridCol w:w="567"/>
        <w:gridCol w:w="1276"/>
        <w:gridCol w:w="1134"/>
        <w:gridCol w:w="868"/>
      </w:tblGrid>
      <w:tr w:rsidR="00DC53A5" w:rsidRPr="0044794B" w14:paraId="3E5CCB8C" w14:textId="77777777" w:rsidTr="00BB35FE">
        <w:trPr>
          <w:trHeight w:val="475"/>
          <w:jc w:val="center"/>
        </w:trPr>
        <w:tc>
          <w:tcPr>
            <w:tcW w:w="846" w:type="dxa"/>
            <w:vMerge w:val="restart"/>
            <w:tcBorders>
              <w:top w:val="single" w:sz="4" w:space="0" w:color="000000"/>
              <w:left w:val="single" w:sz="4" w:space="0" w:color="000000"/>
              <w:right w:val="single" w:sz="4" w:space="0" w:color="000000"/>
            </w:tcBorders>
            <w:tcMar>
              <w:top w:w="0" w:type="dxa"/>
              <w:left w:w="0" w:type="dxa"/>
              <w:bottom w:w="0" w:type="dxa"/>
              <w:right w:w="0" w:type="dxa"/>
            </w:tcMar>
            <w:vAlign w:val="center"/>
          </w:tcPr>
          <w:p w14:paraId="07E0D10D" w14:textId="77777777" w:rsidR="00DC53A5" w:rsidRPr="00D26FEE" w:rsidRDefault="00DC53A5" w:rsidP="00D26FEE">
            <w:pPr>
              <w:spacing w:before="240" w:after="0" w:line="256" w:lineRule="auto"/>
              <w:contextualSpacing/>
              <w:jc w:val="center"/>
              <w:rPr>
                <w:rFonts w:eastAsia="Arial" w:cstheme="minorHAnsi"/>
                <w:b/>
                <w:color w:val="2A2A2A"/>
              </w:rPr>
            </w:pPr>
            <w:r w:rsidRPr="00D26FEE">
              <w:rPr>
                <w:rFonts w:eastAsia="Arial" w:cstheme="minorHAnsi"/>
                <w:b/>
                <w:color w:val="2A2A2A"/>
              </w:rPr>
              <w:t>Graft number</w:t>
            </w:r>
          </w:p>
        </w:tc>
        <w:tc>
          <w:tcPr>
            <w:tcW w:w="3969"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6C09AFD" w14:textId="77777777" w:rsidR="00DC53A5" w:rsidRPr="00D26FEE" w:rsidRDefault="00DC53A5" w:rsidP="00D26FEE">
            <w:pPr>
              <w:spacing w:after="0" w:line="257" w:lineRule="auto"/>
              <w:contextualSpacing/>
              <w:jc w:val="center"/>
              <w:rPr>
                <w:rFonts w:eastAsia="Arial" w:cstheme="minorHAnsi"/>
                <w:b/>
                <w:color w:val="2A2A2A"/>
              </w:rPr>
            </w:pPr>
            <w:r w:rsidRPr="00D26FEE">
              <w:rPr>
                <w:rFonts w:eastAsia="Arial" w:cstheme="minorHAnsi"/>
                <w:b/>
                <w:color w:val="2A2A2A"/>
              </w:rPr>
              <w:t>Deceased Donor</w:t>
            </w:r>
          </w:p>
        </w:tc>
        <w:tc>
          <w:tcPr>
            <w:tcW w:w="384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606CFC0" w14:textId="77777777" w:rsidR="00DC53A5" w:rsidRPr="00D26FEE" w:rsidRDefault="00DC53A5" w:rsidP="00D26FEE">
            <w:pPr>
              <w:spacing w:after="0" w:line="257" w:lineRule="auto"/>
              <w:contextualSpacing/>
              <w:jc w:val="center"/>
              <w:rPr>
                <w:rFonts w:eastAsia="Arial" w:cstheme="minorHAnsi"/>
                <w:color w:val="2A2A2A"/>
              </w:rPr>
            </w:pPr>
            <w:r w:rsidRPr="00D26FEE">
              <w:rPr>
                <w:rFonts w:eastAsia="Arial" w:cstheme="minorHAnsi"/>
                <w:b/>
                <w:color w:val="2A2A2A"/>
              </w:rPr>
              <w:t>Living Donor</w:t>
            </w:r>
          </w:p>
        </w:tc>
      </w:tr>
      <w:tr w:rsidR="00DC53A5" w:rsidRPr="0044794B" w14:paraId="154A977A" w14:textId="77777777" w:rsidTr="00BB35FE">
        <w:trPr>
          <w:trHeight w:val="1080"/>
          <w:jc w:val="center"/>
        </w:trPr>
        <w:tc>
          <w:tcPr>
            <w:tcW w:w="846"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8F988B0" w14:textId="77777777" w:rsidR="00DC53A5" w:rsidRPr="00D26FEE" w:rsidRDefault="00DC53A5" w:rsidP="00D26FEE">
            <w:pPr>
              <w:spacing w:before="240" w:after="0" w:line="256" w:lineRule="auto"/>
              <w:contextualSpacing/>
              <w:jc w:val="center"/>
              <w:rPr>
                <w:rFonts w:eastAsia="Arial" w:cstheme="minorHAnsi"/>
                <w:b/>
                <w:color w:val="2A2A2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7FD7EB5" w14:textId="77777777" w:rsidR="00DC53A5" w:rsidRPr="00D26FEE" w:rsidRDefault="00DC53A5" w:rsidP="00D26FEE">
            <w:pPr>
              <w:spacing w:before="240" w:after="0" w:line="256" w:lineRule="auto"/>
              <w:contextualSpacing/>
              <w:jc w:val="center"/>
              <w:rPr>
                <w:rFonts w:eastAsia="Arial" w:cstheme="minorHAnsi"/>
                <w:b/>
                <w:color w:val="2A2A2A"/>
              </w:rPr>
            </w:pPr>
            <w:r w:rsidRPr="00D26FEE">
              <w:rPr>
                <w:rFonts w:eastAsia="Arial" w:cstheme="minorHAnsi"/>
                <w:b/>
                <w:color w:val="2A2A2A"/>
              </w:rPr>
              <w:t>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2F2DD7E" w14:textId="77777777" w:rsidR="00DC53A5" w:rsidRPr="00D26FEE" w:rsidRDefault="00DC53A5" w:rsidP="00D26FEE">
            <w:pPr>
              <w:spacing w:before="240" w:after="0" w:line="256" w:lineRule="auto"/>
              <w:contextualSpacing/>
              <w:jc w:val="center"/>
              <w:rPr>
                <w:rFonts w:eastAsia="Arial" w:cstheme="minorHAnsi"/>
                <w:b/>
                <w:color w:val="2A2A2A"/>
              </w:rPr>
            </w:pPr>
            <w:r w:rsidRPr="00D26FEE">
              <w:rPr>
                <w:rFonts w:eastAsia="Arial" w:cstheme="minorHAnsi"/>
                <w:b/>
                <w:color w:val="2A2A2A"/>
              </w:rPr>
              <w:t>Median age at transplant (years)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A27E84A" w14:textId="77777777" w:rsidR="00DC53A5" w:rsidRPr="00D26FEE" w:rsidRDefault="00DC53A5" w:rsidP="00D26FEE">
            <w:pPr>
              <w:spacing w:before="240" w:after="0" w:line="256" w:lineRule="auto"/>
              <w:contextualSpacing/>
              <w:jc w:val="center"/>
              <w:rPr>
                <w:rFonts w:eastAsia="Arial" w:cstheme="minorHAnsi"/>
                <w:b/>
                <w:color w:val="2A2A2A"/>
              </w:rPr>
            </w:pPr>
            <w:r w:rsidRPr="00D26FEE">
              <w:rPr>
                <w:rFonts w:eastAsia="Arial" w:cstheme="minorHAnsi"/>
                <w:b/>
                <w:color w:val="2A2A2A"/>
              </w:rPr>
              <w:t>Median age at graft failure (years)</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8073D99" w14:textId="77777777" w:rsidR="00DC53A5" w:rsidRPr="00D26FEE" w:rsidRDefault="00DC53A5" w:rsidP="00D26FEE">
            <w:pPr>
              <w:spacing w:before="240" w:after="0" w:line="256" w:lineRule="auto"/>
              <w:contextualSpacing/>
              <w:jc w:val="center"/>
              <w:rPr>
                <w:rFonts w:eastAsia="Arial" w:cstheme="minorHAnsi"/>
                <w:b/>
                <w:color w:val="2A2A2A"/>
              </w:rPr>
            </w:pPr>
            <w:r w:rsidRPr="00D26FEE">
              <w:rPr>
                <w:rFonts w:eastAsia="Arial" w:cstheme="minorHAnsi"/>
                <w:b/>
                <w:color w:val="2A2A2A"/>
              </w:rPr>
              <w:t>IQR</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8D2D17A" w14:textId="77777777" w:rsidR="00DC53A5" w:rsidRPr="00D26FEE" w:rsidRDefault="00DC53A5" w:rsidP="00D26FEE">
            <w:pPr>
              <w:spacing w:before="240" w:after="0" w:line="256" w:lineRule="auto"/>
              <w:contextualSpacing/>
              <w:jc w:val="center"/>
              <w:rPr>
                <w:rFonts w:eastAsia="Arial" w:cstheme="minorHAnsi"/>
                <w:b/>
                <w:color w:val="2A2A2A"/>
              </w:rPr>
            </w:pPr>
            <w:r w:rsidRPr="00D26FEE">
              <w:rPr>
                <w:rFonts w:eastAsia="Arial" w:cstheme="minorHAnsi"/>
                <w:b/>
                <w:color w:val="2A2A2A"/>
              </w:rPr>
              <w:t>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ABB0652" w14:textId="77777777" w:rsidR="00DC53A5" w:rsidRPr="00D26FEE" w:rsidRDefault="00DC53A5" w:rsidP="00D26FEE">
            <w:pPr>
              <w:spacing w:after="0" w:line="257" w:lineRule="auto"/>
              <w:contextualSpacing/>
              <w:jc w:val="center"/>
              <w:rPr>
                <w:rFonts w:eastAsia="Arial" w:cstheme="minorHAnsi"/>
                <w:b/>
                <w:color w:val="2A2A2A"/>
              </w:rPr>
            </w:pPr>
            <w:r w:rsidRPr="00D26FEE">
              <w:rPr>
                <w:rFonts w:eastAsia="Arial" w:cstheme="minorHAnsi"/>
                <w:b/>
                <w:color w:val="2A2A2A"/>
              </w:rPr>
              <w:t>Median age at transplant (years)</w:t>
            </w:r>
          </w:p>
        </w:tc>
        <w:tc>
          <w:tcPr>
            <w:tcW w:w="1134"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3EE38D4" w14:textId="77777777" w:rsidR="00DC53A5" w:rsidRPr="00D26FEE" w:rsidRDefault="00DC53A5" w:rsidP="00D26FEE">
            <w:pPr>
              <w:spacing w:before="240" w:after="0" w:line="256" w:lineRule="auto"/>
              <w:contextualSpacing/>
              <w:jc w:val="center"/>
              <w:rPr>
                <w:rFonts w:eastAsia="Arial" w:cstheme="minorHAnsi"/>
                <w:b/>
                <w:color w:val="2A2A2A"/>
              </w:rPr>
            </w:pPr>
            <w:r w:rsidRPr="00D26FEE">
              <w:rPr>
                <w:rFonts w:eastAsia="Arial" w:cstheme="minorHAnsi"/>
                <w:b/>
                <w:color w:val="2A2A2A"/>
              </w:rPr>
              <w:t>Median age at graft failure (years)</w:t>
            </w: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506E9F8" w14:textId="77777777" w:rsidR="00DC53A5" w:rsidRPr="00D26FEE" w:rsidRDefault="00DC53A5" w:rsidP="00D26FEE">
            <w:pPr>
              <w:spacing w:before="240" w:after="0" w:line="256" w:lineRule="auto"/>
              <w:contextualSpacing/>
              <w:jc w:val="center"/>
              <w:rPr>
                <w:rFonts w:eastAsia="Arial" w:cstheme="minorHAnsi"/>
                <w:b/>
                <w:color w:val="2A2A2A"/>
              </w:rPr>
            </w:pPr>
            <w:r w:rsidRPr="00D26FEE">
              <w:rPr>
                <w:rFonts w:eastAsia="Arial" w:cstheme="minorHAnsi"/>
                <w:b/>
                <w:color w:val="2A2A2A"/>
              </w:rPr>
              <w:t>IQR</w:t>
            </w:r>
          </w:p>
        </w:tc>
      </w:tr>
      <w:tr w:rsidR="00DC53A5" w:rsidRPr="0044794B" w14:paraId="738E689A" w14:textId="77777777" w:rsidTr="00BB35FE">
        <w:trPr>
          <w:jc w:val="center"/>
        </w:trPr>
        <w:tc>
          <w:tcPr>
            <w:tcW w:w="846"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vAlign w:val="center"/>
          </w:tcPr>
          <w:p w14:paraId="69A1E8A0" w14:textId="77777777" w:rsidR="00DC53A5" w:rsidRPr="00D26FEE" w:rsidRDefault="00DC53A5" w:rsidP="00D26FEE">
            <w:pPr>
              <w:spacing w:before="240" w:after="0" w:line="256" w:lineRule="auto"/>
              <w:contextualSpacing/>
              <w:jc w:val="center"/>
              <w:rPr>
                <w:rFonts w:eastAsia="Arial" w:cstheme="minorHAnsi"/>
                <w:bCs/>
                <w:color w:val="2A2A2A"/>
              </w:rPr>
            </w:pPr>
            <w:r w:rsidRPr="00D26FEE">
              <w:rPr>
                <w:rFonts w:eastAsia="Arial" w:cstheme="minorHAnsi"/>
                <w:bCs/>
                <w:color w:val="2A2A2A"/>
              </w:rPr>
              <w:t>1</w:t>
            </w:r>
          </w:p>
          <w:p w14:paraId="03664301" w14:textId="77777777" w:rsidR="00DC53A5" w:rsidRPr="00D26FEE" w:rsidRDefault="00DC53A5" w:rsidP="00D26FEE">
            <w:pPr>
              <w:spacing w:before="240" w:after="0" w:line="256" w:lineRule="auto"/>
              <w:contextualSpacing/>
              <w:jc w:val="center"/>
              <w:rPr>
                <w:rFonts w:eastAsia="Arial" w:cstheme="minorHAnsi"/>
                <w:bCs/>
                <w:color w:val="2A2A2A"/>
              </w:rPr>
            </w:pPr>
            <w:r w:rsidRPr="00D26FEE">
              <w:rPr>
                <w:rFonts w:eastAsia="Arial" w:cstheme="minorHAnsi"/>
                <w:bCs/>
                <w:color w:val="2A2A2A"/>
              </w:rPr>
              <w:t>2</w:t>
            </w:r>
          </w:p>
          <w:p w14:paraId="05254107" w14:textId="77777777" w:rsidR="00DC53A5" w:rsidRPr="00D26FEE" w:rsidRDefault="00DC53A5" w:rsidP="00D26FEE">
            <w:pPr>
              <w:spacing w:before="240" w:after="0" w:line="256" w:lineRule="auto"/>
              <w:contextualSpacing/>
              <w:jc w:val="center"/>
              <w:rPr>
                <w:rFonts w:eastAsia="Arial" w:cstheme="minorHAnsi"/>
                <w:bCs/>
                <w:color w:val="2A2A2A"/>
              </w:rPr>
            </w:pPr>
            <w:r w:rsidRPr="00D26FEE">
              <w:rPr>
                <w:rFonts w:eastAsia="Arial" w:cstheme="minorHAnsi"/>
                <w:bCs/>
                <w:color w:val="2A2A2A"/>
              </w:rPr>
              <w:t>3</w:t>
            </w:r>
          </w:p>
          <w:p w14:paraId="013C5DD9" w14:textId="77777777" w:rsidR="00DC53A5" w:rsidRPr="00D26FEE" w:rsidRDefault="00DC53A5" w:rsidP="00D26FEE">
            <w:pPr>
              <w:spacing w:before="240" w:after="0" w:line="256" w:lineRule="auto"/>
              <w:contextualSpacing/>
              <w:jc w:val="center"/>
              <w:rPr>
                <w:rFonts w:eastAsia="Arial" w:cstheme="minorHAnsi"/>
                <w:b/>
                <w:color w:val="2A2A2A"/>
              </w:rPr>
            </w:pPr>
            <w:r w:rsidRPr="00D26FEE">
              <w:rPr>
                <w:rFonts w:eastAsia="Arial" w:cstheme="minorHAnsi"/>
                <w:bCs/>
                <w:color w:val="2A2A2A"/>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3E8F912" w14:textId="77777777" w:rsidR="00DC53A5" w:rsidRPr="00D26FEE" w:rsidRDefault="00DC53A5" w:rsidP="00D26FEE">
            <w:pPr>
              <w:spacing w:before="240" w:after="0" w:line="256" w:lineRule="auto"/>
              <w:contextualSpacing/>
              <w:jc w:val="center"/>
              <w:rPr>
                <w:rFonts w:eastAsia="Arial" w:cstheme="minorHAnsi"/>
                <w:color w:val="2A2A2A"/>
              </w:rPr>
            </w:pPr>
            <w:r w:rsidRPr="00D26FEE">
              <w:rPr>
                <w:rFonts w:eastAsia="Arial" w:cstheme="minorHAnsi"/>
                <w:color w:val="2A2A2A"/>
              </w:rPr>
              <w:t>2837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BA7D39A" w14:textId="77777777" w:rsidR="00DC53A5" w:rsidRPr="00D26FEE" w:rsidRDefault="00DC53A5" w:rsidP="00D26FEE">
            <w:pPr>
              <w:spacing w:before="240" w:after="0" w:line="256" w:lineRule="auto"/>
              <w:contextualSpacing/>
              <w:jc w:val="center"/>
              <w:rPr>
                <w:rFonts w:eastAsia="Arial" w:cstheme="minorHAnsi"/>
                <w:color w:val="2A2A2A"/>
              </w:rPr>
            </w:pPr>
            <w:r w:rsidRPr="00D26FEE">
              <w:rPr>
                <w:rFonts w:eastAsia="Arial" w:cstheme="minorHAnsi"/>
                <w:color w:val="2A2A2A"/>
              </w:rPr>
              <w:t>46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06D726E" w14:textId="77777777" w:rsidR="00DC53A5" w:rsidRPr="00D26FEE" w:rsidRDefault="00DC53A5" w:rsidP="00D26FEE">
            <w:pPr>
              <w:spacing w:before="240" w:after="0" w:line="256" w:lineRule="auto"/>
              <w:contextualSpacing/>
              <w:jc w:val="center"/>
              <w:rPr>
                <w:rFonts w:eastAsia="Arial" w:cstheme="minorHAnsi"/>
                <w:color w:val="2A2A2A"/>
              </w:rPr>
            </w:pPr>
            <w:r w:rsidRPr="00D26FEE">
              <w:rPr>
                <w:rFonts w:eastAsia="Arial" w:cstheme="minorHAnsi"/>
                <w:color w:val="2A2A2A"/>
              </w:rPr>
              <w:t>56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1CB91FB" w14:textId="77777777" w:rsidR="00DC53A5" w:rsidRPr="00D26FEE" w:rsidRDefault="00DC53A5" w:rsidP="00D26FEE">
            <w:pPr>
              <w:spacing w:before="240" w:after="0" w:line="256" w:lineRule="auto"/>
              <w:contextualSpacing/>
              <w:jc w:val="center"/>
              <w:rPr>
                <w:rFonts w:eastAsia="Arial" w:cstheme="minorHAnsi"/>
                <w:color w:val="2A2A2A"/>
              </w:rPr>
            </w:pPr>
            <w:r w:rsidRPr="00D26FEE">
              <w:rPr>
                <w:rFonts w:eastAsia="Arial" w:cstheme="minorHAnsi"/>
                <w:color w:val="2A2A2A"/>
              </w:rPr>
              <w:t>45-66</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9AC2C3B" w14:textId="77777777" w:rsidR="00DC53A5" w:rsidRPr="00D26FEE" w:rsidRDefault="00DC53A5" w:rsidP="00D26FEE">
            <w:pPr>
              <w:spacing w:before="240" w:after="0" w:line="256" w:lineRule="auto"/>
              <w:contextualSpacing/>
              <w:jc w:val="center"/>
              <w:rPr>
                <w:rFonts w:eastAsia="Arial" w:cstheme="minorHAnsi"/>
                <w:color w:val="2A2A2A"/>
              </w:rPr>
            </w:pPr>
            <w:r w:rsidRPr="00D26FEE">
              <w:rPr>
                <w:rFonts w:eastAsia="Arial" w:cstheme="minorHAnsi"/>
                <w:color w:val="2A2A2A"/>
              </w:rPr>
              <w:t>923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D298DBB" w14:textId="77777777" w:rsidR="00DC53A5" w:rsidRPr="00D26FEE" w:rsidRDefault="00DC53A5" w:rsidP="00D26FEE">
            <w:pPr>
              <w:spacing w:before="240" w:after="0" w:line="256" w:lineRule="auto"/>
              <w:contextualSpacing/>
              <w:jc w:val="center"/>
              <w:rPr>
                <w:rFonts w:eastAsia="Arial" w:cstheme="minorHAnsi"/>
                <w:color w:val="2A2A2A"/>
              </w:rPr>
            </w:pPr>
            <w:r w:rsidRPr="00D26FEE">
              <w:rPr>
                <w:rFonts w:eastAsia="Arial" w:cstheme="minorHAnsi"/>
                <w:color w:val="2A2A2A"/>
              </w:rPr>
              <w:t>37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E2EFE8D" w14:textId="77777777" w:rsidR="00DC53A5" w:rsidRPr="00D26FEE" w:rsidRDefault="00DC53A5" w:rsidP="00D26FEE">
            <w:pPr>
              <w:spacing w:before="240" w:after="0" w:line="256" w:lineRule="auto"/>
              <w:contextualSpacing/>
              <w:jc w:val="center"/>
              <w:rPr>
                <w:rFonts w:eastAsia="Arial" w:cstheme="minorHAnsi"/>
                <w:color w:val="2A2A2A"/>
              </w:rPr>
            </w:pPr>
            <w:r w:rsidRPr="00D26FEE">
              <w:rPr>
                <w:rFonts w:eastAsia="Arial" w:cstheme="minorHAnsi"/>
                <w:color w:val="2A2A2A"/>
              </w:rPr>
              <w:t>48</w:t>
            </w: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BE822DD" w14:textId="77777777" w:rsidR="00DC53A5" w:rsidRPr="00D26FEE" w:rsidRDefault="00DC53A5" w:rsidP="00D26FEE">
            <w:pPr>
              <w:spacing w:before="240" w:after="0" w:line="256" w:lineRule="auto"/>
              <w:contextualSpacing/>
              <w:jc w:val="center"/>
              <w:rPr>
                <w:rFonts w:eastAsia="Arial" w:cstheme="minorHAnsi"/>
                <w:color w:val="2A2A2A"/>
              </w:rPr>
            </w:pPr>
            <w:r w:rsidRPr="00D26FEE">
              <w:rPr>
                <w:rFonts w:eastAsia="Arial" w:cstheme="minorHAnsi"/>
                <w:color w:val="2A2A2A"/>
              </w:rPr>
              <w:t>35 - 59</w:t>
            </w:r>
          </w:p>
        </w:tc>
      </w:tr>
      <w:tr w:rsidR="00DC53A5" w:rsidRPr="0044794B" w14:paraId="1DE05346" w14:textId="77777777" w:rsidTr="00BB35FE">
        <w:trPr>
          <w:jc w:val="center"/>
        </w:trPr>
        <w:tc>
          <w:tcPr>
            <w:tcW w:w="846" w:type="dxa"/>
            <w:vMerge/>
            <w:tcBorders>
              <w:left w:val="single" w:sz="4" w:space="0" w:color="000000"/>
              <w:right w:val="single" w:sz="4" w:space="0" w:color="000000"/>
            </w:tcBorders>
            <w:shd w:val="clear" w:color="auto" w:fill="auto"/>
            <w:tcMar>
              <w:top w:w="0" w:type="dxa"/>
              <w:left w:w="0" w:type="dxa"/>
              <w:bottom w:w="0" w:type="dxa"/>
              <w:right w:w="0" w:type="dxa"/>
            </w:tcMar>
            <w:vAlign w:val="center"/>
          </w:tcPr>
          <w:p w14:paraId="394FC080" w14:textId="77777777" w:rsidR="00DC53A5" w:rsidRPr="00D26FEE" w:rsidRDefault="00DC53A5" w:rsidP="00D26FEE">
            <w:pPr>
              <w:spacing w:before="240" w:after="0" w:line="256" w:lineRule="auto"/>
              <w:contextualSpacing/>
              <w:jc w:val="center"/>
              <w:rPr>
                <w:rFonts w:eastAsia="Arial" w:cstheme="minorHAnsi"/>
                <w:b/>
                <w:color w:val="2A2A2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398BF59" w14:textId="77777777" w:rsidR="00DC53A5" w:rsidRPr="00D26FEE" w:rsidRDefault="00DC53A5" w:rsidP="00D26FEE">
            <w:pPr>
              <w:spacing w:before="240" w:after="0" w:line="256" w:lineRule="auto"/>
              <w:contextualSpacing/>
              <w:jc w:val="center"/>
              <w:rPr>
                <w:rFonts w:eastAsia="Arial" w:cstheme="minorHAnsi"/>
                <w:color w:val="2A2A2A"/>
              </w:rPr>
            </w:pPr>
            <w:r w:rsidRPr="00D26FEE">
              <w:rPr>
                <w:rFonts w:eastAsia="Arial" w:cstheme="minorHAnsi"/>
                <w:color w:val="2A2A2A"/>
              </w:rPr>
              <w:t>452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5F192CC" w14:textId="77777777" w:rsidR="00DC53A5" w:rsidRPr="00D26FEE" w:rsidRDefault="00DC53A5" w:rsidP="00D26FEE">
            <w:pPr>
              <w:spacing w:before="240" w:after="0" w:line="256" w:lineRule="auto"/>
              <w:contextualSpacing/>
              <w:jc w:val="center"/>
              <w:rPr>
                <w:rFonts w:eastAsia="Arial" w:cstheme="minorHAnsi"/>
                <w:color w:val="2A2A2A"/>
              </w:rPr>
            </w:pPr>
            <w:r w:rsidRPr="00D26FEE">
              <w:rPr>
                <w:rFonts w:eastAsia="Arial" w:cstheme="minorHAnsi"/>
                <w:color w:val="2A2A2A"/>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F99714E" w14:textId="77777777" w:rsidR="00DC53A5" w:rsidRPr="00D26FEE" w:rsidRDefault="00DC53A5" w:rsidP="00D26FEE">
            <w:pPr>
              <w:spacing w:before="240" w:after="0" w:line="256" w:lineRule="auto"/>
              <w:contextualSpacing/>
              <w:jc w:val="center"/>
              <w:rPr>
                <w:rFonts w:eastAsia="Arial" w:cstheme="minorHAnsi"/>
                <w:color w:val="2A2A2A"/>
              </w:rPr>
            </w:pPr>
            <w:r w:rsidRPr="00D26FEE">
              <w:rPr>
                <w:rFonts w:eastAsia="Arial" w:cstheme="minorHAnsi"/>
                <w:color w:val="2A2A2A"/>
              </w:rPr>
              <w:t>52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C9C84F8" w14:textId="77777777" w:rsidR="00DC53A5" w:rsidRPr="00D26FEE" w:rsidRDefault="00DC53A5" w:rsidP="00D26FEE">
            <w:pPr>
              <w:spacing w:before="240" w:after="0" w:line="256" w:lineRule="auto"/>
              <w:contextualSpacing/>
              <w:jc w:val="center"/>
              <w:rPr>
                <w:rFonts w:eastAsia="Arial" w:cstheme="minorHAnsi"/>
                <w:color w:val="2A2A2A"/>
              </w:rPr>
            </w:pPr>
            <w:r w:rsidRPr="00D26FEE">
              <w:rPr>
                <w:rFonts w:eastAsia="Arial" w:cstheme="minorHAnsi"/>
                <w:color w:val="2A2A2A"/>
              </w:rPr>
              <w:t>41.5-59</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BA5EA73" w14:textId="77777777" w:rsidR="00DC53A5" w:rsidRPr="00D26FEE" w:rsidRDefault="00DC53A5" w:rsidP="00D26FEE">
            <w:pPr>
              <w:spacing w:before="240" w:after="0" w:line="256" w:lineRule="auto"/>
              <w:contextualSpacing/>
              <w:jc w:val="center"/>
              <w:rPr>
                <w:rFonts w:eastAsia="Arial" w:cstheme="minorHAnsi"/>
                <w:color w:val="2A2A2A"/>
              </w:rPr>
            </w:pPr>
            <w:r w:rsidRPr="00D26FEE">
              <w:rPr>
                <w:rFonts w:eastAsia="Arial" w:cstheme="minorHAnsi"/>
                <w:color w:val="2A2A2A"/>
              </w:rPr>
              <w:t>153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71FF4C6" w14:textId="77777777" w:rsidR="00DC53A5" w:rsidRPr="00D26FEE" w:rsidRDefault="00DC53A5" w:rsidP="00D26FEE">
            <w:pPr>
              <w:spacing w:before="240" w:after="0" w:line="256" w:lineRule="auto"/>
              <w:contextualSpacing/>
              <w:jc w:val="center"/>
              <w:rPr>
                <w:rFonts w:eastAsia="Arial" w:cstheme="minorHAnsi"/>
                <w:color w:val="2A2A2A"/>
              </w:rPr>
            </w:pPr>
            <w:r w:rsidRPr="00D26FEE">
              <w:rPr>
                <w:rFonts w:eastAsia="Arial" w:cstheme="minorHAnsi"/>
                <w:color w:val="2A2A2A"/>
              </w:rPr>
              <w:t>37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FFE3636" w14:textId="77777777" w:rsidR="00DC53A5" w:rsidRPr="00D26FEE" w:rsidRDefault="00DC53A5" w:rsidP="00D26FEE">
            <w:pPr>
              <w:spacing w:before="240" w:after="0" w:line="256" w:lineRule="auto"/>
              <w:contextualSpacing/>
              <w:jc w:val="center"/>
              <w:rPr>
                <w:rFonts w:eastAsia="Arial" w:cstheme="minorHAnsi"/>
                <w:color w:val="2A2A2A"/>
              </w:rPr>
            </w:pPr>
            <w:r w:rsidRPr="00D26FEE">
              <w:rPr>
                <w:rFonts w:eastAsia="Arial" w:cstheme="minorHAnsi"/>
                <w:color w:val="2A2A2A"/>
              </w:rPr>
              <w:t>45</w:t>
            </w: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67266D8" w14:textId="77777777" w:rsidR="00DC53A5" w:rsidRPr="00D26FEE" w:rsidRDefault="00DC53A5" w:rsidP="00D26FEE">
            <w:pPr>
              <w:spacing w:before="240" w:after="0" w:line="256" w:lineRule="auto"/>
              <w:contextualSpacing/>
              <w:jc w:val="center"/>
              <w:rPr>
                <w:rFonts w:eastAsia="Arial" w:cstheme="minorHAnsi"/>
                <w:color w:val="2A2A2A"/>
              </w:rPr>
            </w:pPr>
            <w:r w:rsidRPr="00D26FEE">
              <w:rPr>
                <w:rFonts w:eastAsia="Arial" w:cstheme="minorHAnsi"/>
                <w:color w:val="2A2A2A"/>
              </w:rPr>
              <w:t>36 - 54</w:t>
            </w:r>
          </w:p>
        </w:tc>
      </w:tr>
      <w:tr w:rsidR="00DC53A5" w:rsidRPr="0044794B" w14:paraId="2AD74EC0" w14:textId="77777777" w:rsidTr="00BB35FE">
        <w:trPr>
          <w:jc w:val="center"/>
        </w:trPr>
        <w:tc>
          <w:tcPr>
            <w:tcW w:w="846" w:type="dxa"/>
            <w:vMerge/>
            <w:tcBorders>
              <w:left w:val="single" w:sz="4" w:space="0" w:color="000000"/>
              <w:right w:val="single" w:sz="4" w:space="0" w:color="000000"/>
            </w:tcBorders>
            <w:shd w:val="clear" w:color="auto" w:fill="auto"/>
            <w:tcMar>
              <w:top w:w="0" w:type="dxa"/>
              <w:left w:w="0" w:type="dxa"/>
              <w:bottom w:w="0" w:type="dxa"/>
              <w:right w:w="0" w:type="dxa"/>
            </w:tcMar>
            <w:vAlign w:val="center"/>
          </w:tcPr>
          <w:p w14:paraId="41E75FFF" w14:textId="77777777" w:rsidR="00DC53A5" w:rsidRPr="00D26FEE" w:rsidRDefault="00DC53A5" w:rsidP="00D26FEE">
            <w:pPr>
              <w:spacing w:before="240" w:after="0" w:line="256" w:lineRule="auto"/>
              <w:contextualSpacing/>
              <w:jc w:val="center"/>
              <w:rPr>
                <w:rFonts w:eastAsia="Arial" w:cstheme="minorHAnsi"/>
                <w:b/>
                <w:color w:val="2A2A2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45AA2FC" w14:textId="77777777" w:rsidR="00DC53A5" w:rsidRPr="00D26FEE" w:rsidRDefault="00DC53A5" w:rsidP="00D26FEE">
            <w:pPr>
              <w:spacing w:before="240" w:after="0" w:line="256" w:lineRule="auto"/>
              <w:contextualSpacing/>
              <w:jc w:val="center"/>
              <w:rPr>
                <w:rFonts w:eastAsia="Arial" w:cstheme="minorHAnsi"/>
                <w:color w:val="2A2A2A"/>
              </w:rPr>
            </w:pPr>
            <w:r w:rsidRPr="00D26FEE">
              <w:rPr>
                <w:rFonts w:eastAsia="Arial" w:cstheme="minorHAnsi"/>
                <w:color w:val="2A2A2A"/>
              </w:rPr>
              <w:t>87.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42B863A" w14:textId="77777777" w:rsidR="00DC53A5" w:rsidRPr="00D26FEE" w:rsidRDefault="00DC53A5" w:rsidP="00D26FEE">
            <w:pPr>
              <w:spacing w:before="240" w:after="0" w:line="256" w:lineRule="auto"/>
              <w:contextualSpacing/>
              <w:jc w:val="center"/>
              <w:rPr>
                <w:rFonts w:eastAsia="Arial" w:cstheme="minorHAnsi"/>
                <w:color w:val="2A2A2A"/>
              </w:rPr>
            </w:pPr>
            <w:r w:rsidRPr="00D26FEE">
              <w:rPr>
                <w:rFonts w:eastAsia="Arial" w:cstheme="minorHAnsi"/>
                <w:color w:val="2A2A2A"/>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4C90908" w14:textId="77777777" w:rsidR="00DC53A5" w:rsidRPr="00D26FEE" w:rsidRDefault="00DC53A5" w:rsidP="00D26FEE">
            <w:pPr>
              <w:spacing w:before="240" w:after="0" w:line="256" w:lineRule="auto"/>
              <w:contextualSpacing/>
              <w:jc w:val="center"/>
              <w:rPr>
                <w:rFonts w:eastAsia="Arial" w:cstheme="minorHAnsi"/>
                <w:color w:val="2A2A2A"/>
              </w:rPr>
            </w:pPr>
            <w:r w:rsidRPr="00D26FEE">
              <w:rPr>
                <w:rFonts w:eastAsia="Arial" w:cstheme="minorHAnsi"/>
                <w:color w:val="2A2A2A"/>
              </w:rPr>
              <w:t>47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F6C46F4" w14:textId="77777777" w:rsidR="00DC53A5" w:rsidRPr="00D26FEE" w:rsidRDefault="00DC53A5" w:rsidP="00D26FEE">
            <w:pPr>
              <w:spacing w:before="240" w:after="0" w:line="256" w:lineRule="auto"/>
              <w:contextualSpacing/>
              <w:jc w:val="center"/>
              <w:rPr>
                <w:rFonts w:eastAsia="Arial" w:cstheme="minorHAnsi"/>
                <w:color w:val="2A2A2A"/>
              </w:rPr>
            </w:pPr>
            <w:r w:rsidRPr="00D26FEE">
              <w:rPr>
                <w:rFonts w:eastAsia="Arial" w:cstheme="minorHAnsi"/>
                <w:color w:val="2A2A2A"/>
              </w:rPr>
              <w:t>40-55</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7EAF0AE" w14:textId="77777777" w:rsidR="00DC53A5" w:rsidRPr="00D26FEE" w:rsidRDefault="00DC53A5" w:rsidP="00D26FEE">
            <w:pPr>
              <w:spacing w:before="240" w:after="0" w:line="256" w:lineRule="auto"/>
              <w:contextualSpacing/>
              <w:jc w:val="center"/>
              <w:rPr>
                <w:rFonts w:eastAsia="Arial" w:cstheme="minorHAnsi"/>
                <w:color w:val="2A2A2A"/>
              </w:rPr>
            </w:pPr>
            <w:r w:rsidRPr="00D26FEE">
              <w:rPr>
                <w:rFonts w:eastAsia="Arial" w:cstheme="minorHAnsi"/>
                <w:color w:val="2A2A2A"/>
              </w:rPr>
              <w:t>21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B202EBD" w14:textId="77777777" w:rsidR="00DC53A5" w:rsidRPr="00D26FEE" w:rsidRDefault="00DC53A5" w:rsidP="00D26FEE">
            <w:pPr>
              <w:spacing w:before="240" w:after="0" w:line="256" w:lineRule="auto"/>
              <w:contextualSpacing/>
              <w:jc w:val="center"/>
              <w:rPr>
                <w:rFonts w:eastAsia="Arial" w:cstheme="minorHAnsi"/>
                <w:color w:val="2A2A2A"/>
              </w:rPr>
            </w:pPr>
            <w:r w:rsidRPr="00D26FEE">
              <w:rPr>
                <w:rFonts w:eastAsia="Arial" w:cstheme="minorHAnsi"/>
                <w:color w:val="2A2A2A"/>
              </w:rPr>
              <w:t>41.5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CADAEF2" w14:textId="77777777" w:rsidR="00DC53A5" w:rsidRPr="00D26FEE" w:rsidRDefault="00DC53A5" w:rsidP="00D26FEE">
            <w:pPr>
              <w:spacing w:before="240" w:after="0" w:line="256" w:lineRule="auto"/>
              <w:contextualSpacing/>
              <w:jc w:val="center"/>
              <w:rPr>
                <w:rFonts w:eastAsia="Arial" w:cstheme="minorHAnsi"/>
                <w:color w:val="2A2A2A"/>
              </w:rPr>
            </w:pPr>
            <w:r w:rsidRPr="00D26FEE">
              <w:rPr>
                <w:rFonts w:eastAsia="Arial" w:cstheme="minorHAnsi"/>
                <w:color w:val="2A2A2A"/>
              </w:rPr>
              <w:t>46.5</w:t>
            </w: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E1D7326" w14:textId="77777777" w:rsidR="00DC53A5" w:rsidRPr="00D26FEE" w:rsidRDefault="00DC53A5" w:rsidP="00D26FEE">
            <w:pPr>
              <w:spacing w:before="240" w:after="0" w:line="256" w:lineRule="auto"/>
              <w:contextualSpacing/>
              <w:jc w:val="center"/>
              <w:rPr>
                <w:rFonts w:eastAsia="Arial" w:cstheme="minorHAnsi"/>
                <w:color w:val="2A2A2A"/>
              </w:rPr>
            </w:pPr>
            <w:r w:rsidRPr="00D26FEE">
              <w:rPr>
                <w:rFonts w:eastAsia="Arial" w:cstheme="minorHAnsi"/>
                <w:color w:val="2A2A2A"/>
              </w:rPr>
              <w:t>40 - 52</w:t>
            </w:r>
          </w:p>
        </w:tc>
      </w:tr>
      <w:tr w:rsidR="00DC53A5" w:rsidRPr="0044794B" w14:paraId="5BB0F7B5" w14:textId="77777777" w:rsidTr="00BB35FE">
        <w:trPr>
          <w:jc w:val="center"/>
        </w:trPr>
        <w:tc>
          <w:tcPr>
            <w:tcW w:w="846"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0F4DC57" w14:textId="77777777" w:rsidR="00DC53A5" w:rsidRPr="00D26FEE" w:rsidRDefault="00DC53A5" w:rsidP="00D26FEE">
            <w:pPr>
              <w:spacing w:before="240" w:after="0" w:line="256" w:lineRule="auto"/>
              <w:contextualSpacing/>
              <w:jc w:val="center"/>
              <w:rPr>
                <w:rFonts w:eastAsia="Arial" w:cstheme="minorHAnsi"/>
                <w:b/>
                <w:color w:val="2A2A2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CB5BF1C" w14:textId="77777777" w:rsidR="00DC53A5" w:rsidRPr="00D26FEE" w:rsidRDefault="00DC53A5" w:rsidP="00D26FEE">
            <w:pPr>
              <w:spacing w:before="240" w:after="0" w:line="256" w:lineRule="auto"/>
              <w:contextualSpacing/>
              <w:jc w:val="center"/>
              <w:rPr>
                <w:rFonts w:eastAsia="Arial" w:cstheme="minorHAnsi"/>
                <w:color w:val="2A2A2A"/>
              </w:rPr>
            </w:pPr>
            <w:r w:rsidRPr="00D26FEE">
              <w:rPr>
                <w:rFonts w:eastAsia="Arial" w:cstheme="minorHAnsi"/>
                <w:color w:val="2A2A2A"/>
              </w:rPr>
              <w:t>17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3717648" w14:textId="77777777" w:rsidR="00DC53A5" w:rsidRPr="00D26FEE" w:rsidRDefault="00DC53A5" w:rsidP="00D26FEE">
            <w:pPr>
              <w:spacing w:before="240" w:after="0" w:line="256" w:lineRule="auto"/>
              <w:contextualSpacing/>
              <w:jc w:val="center"/>
              <w:rPr>
                <w:rFonts w:eastAsia="Arial" w:cstheme="minorHAnsi"/>
                <w:color w:val="2A2A2A"/>
              </w:rPr>
            </w:pPr>
            <w:r w:rsidRPr="00D26FEE">
              <w:rPr>
                <w:rFonts w:eastAsia="Arial" w:cstheme="minorHAnsi"/>
                <w:color w:val="2A2A2A"/>
              </w:rPr>
              <w:t>48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2D36B39" w14:textId="77777777" w:rsidR="00DC53A5" w:rsidRPr="00D26FEE" w:rsidRDefault="00DC53A5" w:rsidP="00D26FEE">
            <w:pPr>
              <w:spacing w:before="240" w:after="0" w:line="256" w:lineRule="auto"/>
              <w:contextualSpacing/>
              <w:jc w:val="center"/>
              <w:rPr>
                <w:rFonts w:eastAsia="Arial" w:cstheme="minorHAnsi"/>
                <w:color w:val="2A2A2A"/>
              </w:rPr>
            </w:pPr>
            <w:r w:rsidRPr="00D26FEE">
              <w:rPr>
                <w:rFonts w:eastAsia="Arial" w:cstheme="minorHAnsi"/>
                <w:color w:val="2A2A2A"/>
              </w:rPr>
              <w:t>53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3C50CA1" w14:textId="77777777" w:rsidR="00DC53A5" w:rsidRPr="00D26FEE" w:rsidRDefault="00DC53A5" w:rsidP="00D26FEE">
            <w:pPr>
              <w:spacing w:before="240" w:after="0" w:line="256" w:lineRule="auto"/>
              <w:contextualSpacing/>
              <w:jc w:val="center"/>
              <w:rPr>
                <w:rFonts w:eastAsia="Arial" w:cstheme="minorHAnsi"/>
                <w:color w:val="2A2A2A"/>
              </w:rPr>
            </w:pPr>
            <w:r w:rsidRPr="00D26FEE">
              <w:rPr>
                <w:rFonts w:eastAsia="Arial" w:cstheme="minorHAnsi"/>
                <w:color w:val="2A2A2A"/>
              </w:rPr>
              <w:t>45-59</w:t>
            </w:r>
          </w:p>
        </w:tc>
        <w:tc>
          <w:tcPr>
            <w:tcW w:w="567" w:type="dxa"/>
            <w:tcBorders>
              <w:top w:val="single" w:sz="4" w:space="0" w:color="000000"/>
              <w:left w:val="single" w:sz="4" w:space="0" w:color="000000"/>
              <w:bottom w:val="single" w:sz="4" w:space="0" w:color="000000"/>
              <w:right w:val="single" w:sz="4" w:space="0" w:color="000000"/>
            </w:tcBorders>
            <w:shd w:val="clear" w:color="auto" w:fill="B7B7B7"/>
            <w:tcMar>
              <w:top w:w="0" w:type="dxa"/>
              <w:left w:w="0" w:type="dxa"/>
              <w:bottom w:w="0" w:type="dxa"/>
              <w:right w:w="0" w:type="dxa"/>
            </w:tcMar>
            <w:vAlign w:val="center"/>
          </w:tcPr>
          <w:p w14:paraId="39822255" w14:textId="77777777" w:rsidR="00DC53A5" w:rsidRPr="00D26FEE" w:rsidRDefault="00DC53A5" w:rsidP="00D26FEE">
            <w:pPr>
              <w:spacing w:before="240" w:after="0" w:line="256" w:lineRule="auto"/>
              <w:contextualSpacing/>
              <w:jc w:val="center"/>
              <w:rPr>
                <w:rFonts w:eastAsia="Arial" w:cstheme="minorHAnsi"/>
                <w:color w:val="2A2A2A"/>
                <w:shd w:val="clear" w:color="auto" w:fill="CCCCCC"/>
              </w:rPr>
            </w:pPr>
          </w:p>
        </w:tc>
        <w:tc>
          <w:tcPr>
            <w:tcW w:w="1276" w:type="dxa"/>
            <w:tcBorders>
              <w:top w:val="single" w:sz="4" w:space="0" w:color="000000"/>
              <w:left w:val="single" w:sz="4" w:space="0" w:color="000000"/>
              <w:bottom w:val="single" w:sz="4" w:space="0" w:color="000000"/>
              <w:right w:val="single" w:sz="4" w:space="0" w:color="000000"/>
            </w:tcBorders>
            <w:shd w:val="clear" w:color="auto" w:fill="B7B7B7"/>
            <w:tcMar>
              <w:top w:w="0" w:type="dxa"/>
              <w:left w:w="0" w:type="dxa"/>
              <w:bottom w:w="0" w:type="dxa"/>
              <w:right w:w="0" w:type="dxa"/>
            </w:tcMar>
            <w:vAlign w:val="center"/>
          </w:tcPr>
          <w:p w14:paraId="506BD6EF" w14:textId="77777777" w:rsidR="00DC53A5" w:rsidRPr="00D26FEE" w:rsidRDefault="00DC53A5" w:rsidP="00D26FEE">
            <w:pPr>
              <w:spacing w:before="240" w:after="0" w:line="256" w:lineRule="auto"/>
              <w:contextualSpacing/>
              <w:jc w:val="center"/>
              <w:rPr>
                <w:rFonts w:eastAsia="Arial" w:cstheme="minorHAnsi"/>
                <w:color w:val="2A2A2A"/>
                <w:shd w:val="clear" w:color="auto" w:fill="CCCCCC"/>
              </w:rPr>
            </w:pPr>
          </w:p>
        </w:tc>
        <w:tc>
          <w:tcPr>
            <w:tcW w:w="1134" w:type="dxa"/>
            <w:tcBorders>
              <w:top w:val="single" w:sz="4" w:space="0" w:color="000000"/>
              <w:left w:val="single" w:sz="4" w:space="0" w:color="000000"/>
              <w:bottom w:val="single" w:sz="4" w:space="0" w:color="000000"/>
              <w:right w:val="single" w:sz="4" w:space="0" w:color="000000"/>
            </w:tcBorders>
            <w:shd w:val="clear" w:color="auto" w:fill="B7B7B7"/>
            <w:tcMar>
              <w:top w:w="0" w:type="dxa"/>
              <w:left w:w="0" w:type="dxa"/>
              <w:bottom w:w="0" w:type="dxa"/>
              <w:right w:w="0" w:type="dxa"/>
            </w:tcMar>
            <w:vAlign w:val="center"/>
          </w:tcPr>
          <w:p w14:paraId="542164FE" w14:textId="77777777" w:rsidR="00DC53A5" w:rsidRPr="00D26FEE" w:rsidRDefault="00DC53A5" w:rsidP="00D26FEE">
            <w:pPr>
              <w:spacing w:before="240" w:after="0" w:line="256" w:lineRule="auto"/>
              <w:contextualSpacing/>
              <w:jc w:val="center"/>
              <w:rPr>
                <w:rFonts w:eastAsia="Arial" w:cstheme="minorHAnsi"/>
                <w:color w:val="2A2A2A"/>
                <w:shd w:val="clear" w:color="auto" w:fill="CCCCCC"/>
              </w:rPr>
            </w:pPr>
          </w:p>
        </w:tc>
        <w:tc>
          <w:tcPr>
            <w:tcW w:w="868" w:type="dxa"/>
            <w:tcBorders>
              <w:top w:val="single" w:sz="4" w:space="0" w:color="000000"/>
              <w:left w:val="single" w:sz="4" w:space="0" w:color="000000"/>
              <w:bottom w:val="single" w:sz="4" w:space="0" w:color="000000"/>
              <w:right w:val="single" w:sz="4" w:space="0" w:color="000000"/>
            </w:tcBorders>
            <w:shd w:val="clear" w:color="auto" w:fill="B7B7B7"/>
            <w:tcMar>
              <w:top w:w="0" w:type="dxa"/>
              <w:left w:w="0" w:type="dxa"/>
              <w:bottom w:w="0" w:type="dxa"/>
              <w:right w:w="0" w:type="dxa"/>
            </w:tcMar>
            <w:vAlign w:val="center"/>
          </w:tcPr>
          <w:p w14:paraId="202C39C5" w14:textId="77777777" w:rsidR="00DC53A5" w:rsidRPr="00D26FEE" w:rsidRDefault="00DC53A5" w:rsidP="00D26FEE">
            <w:pPr>
              <w:spacing w:before="240" w:after="0" w:line="256" w:lineRule="auto"/>
              <w:contextualSpacing/>
              <w:jc w:val="center"/>
              <w:rPr>
                <w:rFonts w:eastAsia="Arial" w:cstheme="minorHAnsi"/>
                <w:color w:val="2A2A2A"/>
                <w:shd w:val="clear" w:color="auto" w:fill="CCCCCC"/>
              </w:rPr>
            </w:pPr>
          </w:p>
        </w:tc>
      </w:tr>
    </w:tbl>
    <w:p w14:paraId="52422398" w14:textId="77777777" w:rsidR="00D26FEE" w:rsidRDefault="00D26FEE" w:rsidP="00D26FEE">
      <w:pPr>
        <w:pStyle w:val="Heading3"/>
        <w:rPr>
          <w:rFonts w:eastAsia="Arial"/>
        </w:rPr>
      </w:pPr>
    </w:p>
    <w:p w14:paraId="2F1BBCFC" w14:textId="570E14D5" w:rsidR="00DC53A5" w:rsidRPr="0044794B" w:rsidRDefault="00DC53A5" w:rsidP="00D26FEE">
      <w:pPr>
        <w:pStyle w:val="Heading3"/>
        <w:rPr>
          <w:rFonts w:eastAsia="Arial"/>
        </w:rPr>
      </w:pPr>
      <w:bookmarkStart w:id="179" w:name="_Toc128330082"/>
      <w:r w:rsidRPr="0044794B">
        <w:rPr>
          <w:rFonts w:eastAsia="Arial"/>
        </w:rPr>
        <w:t>1</w:t>
      </w:r>
      <w:r w:rsidR="00D26FEE">
        <w:rPr>
          <w:rFonts w:eastAsia="Arial"/>
        </w:rPr>
        <w:t>1</w:t>
      </w:r>
      <w:r w:rsidRPr="0044794B">
        <w:rPr>
          <w:rFonts w:eastAsia="Arial"/>
        </w:rPr>
        <w:t xml:space="preserve">.3 </w:t>
      </w:r>
      <w:r w:rsidRPr="0044794B">
        <w:tab/>
      </w:r>
      <w:r w:rsidRPr="0044794B">
        <w:rPr>
          <w:rFonts w:eastAsia="Arial"/>
        </w:rPr>
        <w:t>Prognosis after graft failure</w:t>
      </w:r>
      <w:bookmarkEnd w:id="179"/>
    </w:p>
    <w:p w14:paraId="562DEE68" w14:textId="02DF9970" w:rsidR="00DC53A5" w:rsidRPr="00D26FEE" w:rsidRDefault="00DC53A5" w:rsidP="00D26FEE">
      <w:pPr>
        <w:spacing w:line="276" w:lineRule="auto"/>
        <w:jc w:val="both"/>
        <w:rPr>
          <w:rFonts w:eastAsia="Arial" w:cstheme="minorHAnsi"/>
          <w:color w:val="2A2A2A"/>
        </w:rPr>
      </w:pPr>
      <w:r w:rsidRPr="00D26FEE">
        <w:rPr>
          <w:rFonts w:eastAsia="Arial" w:cstheme="minorHAnsi"/>
          <w:color w:val="2A2A2A"/>
        </w:rPr>
        <w:t>Graft failure has an adverse impact on patient survival. The risk of death in those with a failed kidney transplant is more than three times higher compared to patients whose transplant continues to function</w:t>
      </w:r>
      <w:r w:rsidRPr="00D26FEE">
        <w:rPr>
          <w:rFonts w:eastAsia="Arial" w:cstheme="minorHAnsi"/>
          <w:color w:val="2A2A2A"/>
          <w:vertAlign w:val="superscript"/>
        </w:rPr>
        <w:t>3</w:t>
      </w:r>
      <w:r w:rsidRPr="00D26FEE">
        <w:rPr>
          <w:rFonts w:eastAsia="Arial" w:cstheme="minorHAnsi"/>
          <w:color w:val="2A2A2A"/>
        </w:rPr>
        <w:t xml:space="preserve">. It is well recognised that there is high mortality and morbidity for RFKT returning to dialysis. The meta-analysis by Kabani </w:t>
      </w:r>
      <w:r w:rsidRPr="00D26FEE">
        <w:rPr>
          <w:rFonts w:eastAsia="Arial" w:cstheme="minorHAnsi"/>
          <w:i/>
          <w:iCs/>
          <w:color w:val="2A2A2A"/>
        </w:rPr>
        <w:t>et al</w:t>
      </w:r>
      <w:r w:rsidR="00D26FEE">
        <w:rPr>
          <w:rFonts w:eastAsia="Arial" w:cstheme="minorHAnsi"/>
          <w:i/>
          <w:iCs/>
          <w:color w:val="2A2A2A"/>
        </w:rPr>
        <w:t xml:space="preserve"> </w:t>
      </w:r>
      <w:r w:rsidRPr="00D26FEE">
        <w:rPr>
          <w:rFonts w:eastAsia="Arial" w:cstheme="minorHAnsi"/>
          <w:color w:val="2A2A2A"/>
        </w:rPr>
        <w:t xml:space="preserve">including 250,000 RFKT demonstrates a 12% mortality in the </w:t>
      </w:r>
      <w:proofErr w:type="gramStart"/>
      <w:r w:rsidRPr="00D26FEE">
        <w:rPr>
          <w:rFonts w:eastAsia="Arial" w:cstheme="minorHAnsi"/>
          <w:color w:val="2A2A2A"/>
        </w:rPr>
        <w:t>first year</w:t>
      </w:r>
      <w:proofErr w:type="gramEnd"/>
      <w:r w:rsidRPr="00D26FEE">
        <w:rPr>
          <w:rFonts w:eastAsia="Arial" w:cstheme="minorHAnsi"/>
          <w:color w:val="2A2A2A"/>
        </w:rPr>
        <w:t xml:space="preserve"> post dialysis initiation</w:t>
      </w:r>
      <w:r w:rsidRPr="00D26FEE">
        <w:rPr>
          <w:rFonts w:eastAsia="Arial" w:cstheme="minorHAnsi"/>
          <w:color w:val="2A2A2A"/>
          <w:vertAlign w:val="superscript"/>
        </w:rPr>
        <w:t>4</w:t>
      </w:r>
      <w:r w:rsidRPr="00D26FEE">
        <w:rPr>
          <w:rFonts w:eastAsia="Arial" w:cstheme="minorHAnsi"/>
          <w:color w:val="2A2A2A"/>
        </w:rPr>
        <w:t>. Although this was limited by study heterogeneity, this value is greater than a comparably aged but unselected international group of haemodialysis patients including high risk unplanned starters</w:t>
      </w:r>
      <w:r w:rsidRPr="00D26FEE">
        <w:rPr>
          <w:rFonts w:eastAsia="Arial" w:cstheme="minorHAnsi"/>
          <w:color w:val="2A2A2A"/>
          <w:vertAlign w:val="superscript"/>
        </w:rPr>
        <w:t>5</w:t>
      </w:r>
      <w:r w:rsidRPr="00D26FEE">
        <w:rPr>
          <w:rFonts w:eastAsia="Arial" w:cstheme="minorHAnsi"/>
          <w:color w:val="2A2A2A"/>
        </w:rPr>
        <w:t xml:space="preserve"> and those with ESKD on the UK waiting list. However more recent data demonstrates improvement. A retrospective study by Varas </w:t>
      </w:r>
      <w:r w:rsidRPr="00D26FEE">
        <w:rPr>
          <w:rFonts w:eastAsia="Arial" w:cstheme="minorHAnsi"/>
          <w:i/>
          <w:iCs/>
          <w:color w:val="2A2A2A"/>
        </w:rPr>
        <w:t>et al</w:t>
      </w:r>
      <w:r w:rsidRPr="00D26FEE">
        <w:rPr>
          <w:rFonts w:eastAsia="Arial" w:cstheme="minorHAnsi"/>
          <w:color w:val="2A2A2A"/>
        </w:rPr>
        <w:t xml:space="preserve"> of 5216 patients starting dialysis between 2009-2014 found no difference in survival rates between RFKT returning to dialysis and the incident transplant naïve patients when multivariate analysis adjusted for age, sex and comorbidities</w:t>
      </w:r>
      <w:r w:rsidRPr="00D26FEE">
        <w:rPr>
          <w:rFonts w:eastAsia="Arial" w:cstheme="minorHAnsi"/>
          <w:color w:val="2A2A2A"/>
          <w:vertAlign w:val="superscript"/>
        </w:rPr>
        <w:t>6</w:t>
      </w:r>
      <w:r w:rsidRPr="00D26FEE">
        <w:rPr>
          <w:rFonts w:eastAsia="Arial" w:cstheme="minorHAnsi"/>
          <w:color w:val="2A2A2A"/>
        </w:rPr>
        <w:t>.</w:t>
      </w:r>
    </w:p>
    <w:p w14:paraId="3B1FE3F9" w14:textId="58E9774A" w:rsidR="00DC53A5" w:rsidRPr="0044794B" w:rsidRDefault="00D26FEE" w:rsidP="00D26FEE">
      <w:pPr>
        <w:pStyle w:val="Heading4"/>
        <w:rPr>
          <w:rFonts w:eastAsia="Arial"/>
        </w:rPr>
      </w:pPr>
      <w:bookmarkStart w:id="180" w:name="_Toc128330083"/>
      <w:r>
        <w:rPr>
          <w:rFonts w:eastAsia="Arial"/>
        </w:rPr>
        <w:t>11.3.1</w:t>
      </w:r>
      <w:r>
        <w:rPr>
          <w:rFonts w:eastAsia="Arial"/>
        </w:rPr>
        <w:tab/>
      </w:r>
      <w:r w:rsidR="009E0472">
        <w:rPr>
          <w:rFonts w:eastAsia="Arial"/>
        </w:rPr>
        <w:tab/>
      </w:r>
      <w:r w:rsidR="00DC53A5" w:rsidRPr="0044794B">
        <w:rPr>
          <w:rFonts w:eastAsia="Arial"/>
        </w:rPr>
        <w:t>Death</w:t>
      </w:r>
      <w:bookmarkEnd w:id="180"/>
    </w:p>
    <w:p w14:paraId="51799947" w14:textId="3C6DEB4F" w:rsidR="00DC53A5" w:rsidRPr="00D26FEE" w:rsidRDefault="00DC53A5" w:rsidP="00D26FEE">
      <w:pPr>
        <w:spacing w:line="276" w:lineRule="auto"/>
        <w:jc w:val="both"/>
        <w:rPr>
          <w:rFonts w:eastAsia="Arial" w:cstheme="minorHAnsi"/>
          <w:color w:val="2A2A2A"/>
        </w:rPr>
      </w:pPr>
      <w:r w:rsidRPr="00D26FEE">
        <w:rPr>
          <w:rFonts w:eastAsia="Arial" w:cstheme="minorHAnsi"/>
          <w:color w:val="2A2A2A"/>
        </w:rPr>
        <w:t xml:space="preserve">From those dying </w:t>
      </w:r>
      <w:r w:rsidR="00850844">
        <w:rPr>
          <w:rFonts w:eastAsia="Arial" w:cstheme="minorHAnsi"/>
          <w:color w:val="2A2A2A"/>
        </w:rPr>
        <w:t>post-transplantation</w:t>
      </w:r>
      <w:r w:rsidRPr="00D26FEE">
        <w:rPr>
          <w:rFonts w:eastAsia="Arial" w:cstheme="minorHAnsi"/>
          <w:color w:val="2A2A2A"/>
        </w:rPr>
        <w:t>, there is a significant number of those who have been reported as a failed graft to NHSBT as shown in table 1</w:t>
      </w:r>
      <w:r w:rsidR="00D26FEE">
        <w:rPr>
          <w:rFonts w:eastAsia="Arial" w:cstheme="minorHAnsi"/>
          <w:color w:val="2A2A2A"/>
        </w:rPr>
        <w:t>1</w:t>
      </w:r>
      <w:r w:rsidRPr="00D26FEE">
        <w:rPr>
          <w:rFonts w:eastAsia="Arial" w:cstheme="minorHAnsi"/>
          <w:color w:val="2A2A2A"/>
        </w:rPr>
        <w:t>.3. Further work would determine whether these patients might have been appropriately worked up for another transplant.</w:t>
      </w:r>
    </w:p>
    <w:p w14:paraId="40FA201F" w14:textId="113C9135" w:rsidR="00DC53A5" w:rsidRPr="00D26FEE" w:rsidRDefault="00DC53A5" w:rsidP="00DC53A5">
      <w:pPr>
        <w:jc w:val="both"/>
        <w:rPr>
          <w:rFonts w:eastAsia="Arial" w:cstheme="minorHAnsi"/>
          <w:b/>
          <w:color w:val="2A2A2A"/>
        </w:rPr>
      </w:pPr>
      <w:r w:rsidRPr="00D26FEE">
        <w:rPr>
          <w:rFonts w:eastAsia="Arial" w:cstheme="minorHAnsi"/>
          <w:b/>
          <w:color w:val="2A2A2A"/>
        </w:rPr>
        <w:t>Table 1</w:t>
      </w:r>
      <w:r w:rsidR="00D26FEE" w:rsidRPr="00D26FEE">
        <w:rPr>
          <w:rFonts w:eastAsia="Arial" w:cstheme="minorHAnsi"/>
          <w:b/>
          <w:color w:val="2A2A2A"/>
        </w:rPr>
        <w:t>1</w:t>
      </w:r>
      <w:r w:rsidRPr="00D26FEE">
        <w:rPr>
          <w:rFonts w:eastAsia="Arial" w:cstheme="minorHAnsi"/>
          <w:b/>
          <w:color w:val="2A2A2A"/>
        </w:rPr>
        <w:t xml:space="preserve">.3 </w:t>
      </w:r>
      <w:r w:rsidRPr="00D26FEE">
        <w:rPr>
          <w:rFonts w:eastAsia="Arial" w:cstheme="minorHAnsi"/>
          <w:color w:val="2A2A2A"/>
        </w:rPr>
        <w:t xml:space="preserve">Patients with failed transplant at </w:t>
      </w:r>
      <w:r w:rsidR="00850844">
        <w:rPr>
          <w:rFonts w:eastAsia="Arial" w:cstheme="minorHAnsi"/>
          <w:color w:val="2A2A2A"/>
        </w:rPr>
        <w:t xml:space="preserve">the </w:t>
      </w:r>
      <w:r w:rsidRPr="00D26FEE">
        <w:rPr>
          <w:rFonts w:eastAsia="Arial" w:cstheme="minorHAnsi"/>
          <w:color w:val="2A2A2A"/>
        </w:rPr>
        <w:t>time of death, 1/1/16 – 31/12/20</w:t>
      </w:r>
    </w:p>
    <w:tbl>
      <w:tblPr>
        <w:tblW w:w="9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790"/>
        <w:gridCol w:w="2970"/>
        <w:gridCol w:w="2550"/>
        <w:gridCol w:w="754"/>
      </w:tblGrid>
      <w:tr w:rsidR="00DC53A5" w:rsidRPr="00D26FEE" w14:paraId="5E913824" w14:textId="77777777" w:rsidTr="00BB35FE">
        <w:tc>
          <w:tcPr>
            <w:tcW w:w="2790" w:type="dxa"/>
            <w:vAlign w:val="center"/>
          </w:tcPr>
          <w:p w14:paraId="56AF0B3E" w14:textId="77777777" w:rsidR="00DC53A5" w:rsidRPr="00D26FEE" w:rsidRDefault="00DC53A5" w:rsidP="00BB35FE">
            <w:pPr>
              <w:jc w:val="center"/>
              <w:rPr>
                <w:rFonts w:eastAsia="Arial" w:cstheme="minorHAnsi"/>
                <w:b/>
                <w:color w:val="2A2A2A"/>
              </w:rPr>
            </w:pPr>
          </w:p>
        </w:tc>
        <w:tc>
          <w:tcPr>
            <w:tcW w:w="2970" w:type="dxa"/>
            <w:vAlign w:val="center"/>
          </w:tcPr>
          <w:p w14:paraId="144F3C64" w14:textId="77777777" w:rsidR="00DC53A5" w:rsidRPr="00D26FEE" w:rsidRDefault="00DC53A5" w:rsidP="00BB35FE">
            <w:pPr>
              <w:jc w:val="center"/>
              <w:rPr>
                <w:rFonts w:eastAsia="Arial" w:cstheme="minorHAnsi"/>
                <w:b/>
                <w:color w:val="2A2A2A"/>
              </w:rPr>
            </w:pPr>
            <w:r w:rsidRPr="00D26FEE">
              <w:rPr>
                <w:rFonts w:eastAsia="Arial" w:cstheme="minorHAnsi"/>
                <w:b/>
                <w:color w:val="2A2A2A"/>
              </w:rPr>
              <w:t xml:space="preserve">Deceased Donor </w:t>
            </w:r>
          </w:p>
        </w:tc>
        <w:tc>
          <w:tcPr>
            <w:tcW w:w="2550" w:type="dxa"/>
            <w:vAlign w:val="center"/>
          </w:tcPr>
          <w:p w14:paraId="3ECC8D43" w14:textId="77777777" w:rsidR="00DC53A5" w:rsidRPr="00D26FEE" w:rsidRDefault="00DC53A5" w:rsidP="00BB35FE">
            <w:pPr>
              <w:jc w:val="center"/>
              <w:rPr>
                <w:rFonts w:eastAsia="Arial" w:cstheme="minorHAnsi"/>
                <w:b/>
                <w:color w:val="2A2A2A"/>
              </w:rPr>
            </w:pPr>
            <w:r w:rsidRPr="00D26FEE">
              <w:rPr>
                <w:rFonts w:eastAsia="Arial" w:cstheme="minorHAnsi"/>
                <w:b/>
                <w:color w:val="2A2A2A"/>
              </w:rPr>
              <w:t>Living Donor</w:t>
            </w:r>
          </w:p>
        </w:tc>
        <w:tc>
          <w:tcPr>
            <w:tcW w:w="754" w:type="dxa"/>
            <w:vAlign w:val="center"/>
          </w:tcPr>
          <w:p w14:paraId="48542160" w14:textId="77777777" w:rsidR="00DC53A5" w:rsidRPr="00D26FEE" w:rsidRDefault="00DC53A5" w:rsidP="00BB35FE">
            <w:pPr>
              <w:jc w:val="center"/>
              <w:rPr>
                <w:rFonts w:eastAsia="Arial" w:cstheme="minorHAnsi"/>
                <w:b/>
                <w:color w:val="2A2A2A"/>
              </w:rPr>
            </w:pPr>
            <w:r w:rsidRPr="00D26FEE">
              <w:rPr>
                <w:rFonts w:eastAsia="Arial" w:cstheme="minorHAnsi"/>
                <w:b/>
                <w:color w:val="2A2A2A"/>
              </w:rPr>
              <w:t>Total</w:t>
            </w:r>
          </w:p>
        </w:tc>
      </w:tr>
      <w:tr w:rsidR="00DC53A5" w:rsidRPr="00D26FEE" w14:paraId="512F4A63" w14:textId="77777777" w:rsidTr="00BB35FE">
        <w:trPr>
          <w:trHeight w:val="220"/>
        </w:trPr>
        <w:tc>
          <w:tcPr>
            <w:tcW w:w="2790" w:type="dxa"/>
            <w:vAlign w:val="center"/>
          </w:tcPr>
          <w:p w14:paraId="042395DF" w14:textId="77777777" w:rsidR="00DC53A5" w:rsidRPr="00D26FEE" w:rsidRDefault="00DC53A5" w:rsidP="00BB35FE">
            <w:pPr>
              <w:jc w:val="center"/>
              <w:rPr>
                <w:rFonts w:eastAsia="Arial" w:cstheme="minorHAnsi"/>
                <w:color w:val="2A2A2A"/>
              </w:rPr>
            </w:pPr>
            <w:r w:rsidRPr="00D26FEE">
              <w:rPr>
                <w:rFonts w:eastAsia="Arial" w:cstheme="minorHAnsi"/>
                <w:color w:val="2A2A2A"/>
              </w:rPr>
              <w:t>Number of transplanted patients with functioning graft who died</w:t>
            </w:r>
          </w:p>
        </w:tc>
        <w:tc>
          <w:tcPr>
            <w:tcW w:w="2970" w:type="dxa"/>
            <w:vAlign w:val="center"/>
          </w:tcPr>
          <w:p w14:paraId="643948DA" w14:textId="77777777" w:rsidR="00DC53A5" w:rsidRPr="00D26FEE" w:rsidRDefault="00DC53A5" w:rsidP="00BB35FE">
            <w:pPr>
              <w:jc w:val="center"/>
              <w:rPr>
                <w:rFonts w:eastAsia="Arial" w:cstheme="minorHAnsi"/>
                <w:color w:val="2A2A2A"/>
              </w:rPr>
            </w:pPr>
            <w:r w:rsidRPr="00D26FEE">
              <w:rPr>
                <w:rFonts w:eastAsia="Arial" w:cstheme="minorHAnsi"/>
                <w:color w:val="2A2A2A"/>
              </w:rPr>
              <w:t>3683</w:t>
            </w:r>
          </w:p>
        </w:tc>
        <w:tc>
          <w:tcPr>
            <w:tcW w:w="2550" w:type="dxa"/>
            <w:vAlign w:val="center"/>
          </w:tcPr>
          <w:p w14:paraId="04ACBFEC" w14:textId="77777777" w:rsidR="00DC53A5" w:rsidRPr="00D26FEE" w:rsidRDefault="00DC53A5" w:rsidP="00BB35FE">
            <w:pPr>
              <w:jc w:val="center"/>
              <w:rPr>
                <w:rFonts w:eastAsia="Arial" w:cstheme="minorHAnsi"/>
                <w:color w:val="2A2A2A"/>
              </w:rPr>
            </w:pPr>
            <w:r w:rsidRPr="00D26FEE">
              <w:rPr>
                <w:rFonts w:eastAsia="Arial" w:cstheme="minorHAnsi"/>
                <w:color w:val="2A2A2A"/>
              </w:rPr>
              <w:t>973</w:t>
            </w:r>
          </w:p>
        </w:tc>
        <w:tc>
          <w:tcPr>
            <w:tcW w:w="754" w:type="dxa"/>
            <w:vAlign w:val="center"/>
          </w:tcPr>
          <w:p w14:paraId="724B6359" w14:textId="77777777" w:rsidR="00DC53A5" w:rsidRPr="00D26FEE" w:rsidRDefault="00DC53A5" w:rsidP="00BB35FE">
            <w:pPr>
              <w:jc w:val="center"/>
              <w:rPr>
                <w:rFonts w:eastAsia="Arial" w:cstheme="minorHAnsi"/>
                <w:color w:val="2A2A2A"/>
              </w:rPr>
            </w:pPr>
            <w:r w:rsidRPr="00D26FEE">
              <w:rPr>
                <w:rFonts w:eastAsia="Arial" w:cstheme="minorHAnsi"/>
                <w:color w:val="2A2A2A"/>
              </w:rPr>
              <w:t>4656</w:t>
            </w:r>
          </w:p>
        </w:tc>
      </w:tr>
      <w:tr w:rsidR="00DC53A5" w:rsidRPr="00D26FEE" w14:paraId="7F0D823A" w14:textId="77777777" w:rsidTr="00BB35FE">
        <w:trPr>
          <w:trHeight w:val="220"/>
        </w:trPr>
        <w:tc>
          <w:tcPr>
            <w:tcW w:w="2790" w:type="dxa"/>
            <w:vAlign w:val="center"/>
          </w:tcPr>
          <w:p w14:paraId="1E4597F3" w14:textId="723D61B9" w:rsidR="00DC53A5" w:rsidRPr="00D26FEE" w:rsidRDefault="00DC53A5" w:rsidP="00BB35FE">
            <w:pPr>
              <w:jc w:val="center"/>
              <w:rPr>
                <w:rFonts w:eastAsia="Arial" w:cstheme="minorHAnsi"/>
                <w:color w:val="2A2A2A"/>
              </w:rPr>
            </w:pPr>
            <w:r w:rsidRPr="00D26FEE">
              <w:rPr>
                <w:rFonts w:eastAsia="Arial" w:cstheme="minorHAnsi"/>
                <w:color w:val="2A2A2A"/>
              </w:rPr>
              <w:t xml:space="preserve">Number of deceased patients with a failed graft at </w:t>
            </w:r>
            <w:r w:rsidR="00850844">
              <w:rPr>
                <w:rFonts w:eastAsia="Arial" w:cstheme="minorHAnsi"/>
                <w:color w:val="2A2A2A"/>
              </w:rPr>
              <w:t xml:space="preserve">the </w:t>
            </w:r>
            <w:r w:rsidRPr="00D26FEE">
              <w:rPr>
                <w:rFonts w:eastAsia="Arial" w:cstheme="minorHAnsi"/>
                <w:color w:val="2A2A2A"/>
              </w:rPr>
              <w:t>time of death (%)</w:t>
            </w:r>
          </w:p>
        </w:tc>
        <w:tc>
          <w:tcPr>
            <w:tcW w:w="2970" w:type="dxa"/>
            <w:vAlign w:val="center"/>
          </w:tcPr>
          <w:p w14:paraId="6EE312E7" w14:textId="77777777" w:rsidR="00DC53A5" w:rsidRPr="00D26FEE" w:rsidRDefault="00DC53A5" w:rsidP="00BB35FE">
            <w:pPr>
              <w:jc w:val="center"/>
              <w:rPr>
                <w:rFonts w:eastAsia="Arial" w:cstheme="minorHAnsi"/>
                <w:color w:val="2A2A2A"/>
              </w:rPr>
            </w:pPr>
            <w:r w:rsidRPr="00D26FEE">
              <w:rPr>
                <w:rFonts w:eastAsia="Arial" w:cstheme="minorHAnsi"/>
                <w:color w:val="2A2A2A"/>
              </w:rPr>
              <w:t>877</w:t>
            </w:r>
          </w:p>
          <w:p w14:paraId="185908A7" w14:textId="77777777" w:rsidR="00DC53A5" w:rsidRPr="00D26FEE" w:rsidRDefault="00DC53A5" w:rsidP="00BB35FE">
            <w:pPr>
              <w:jc w:val="center"/>
              <w:rPr>
                <w:rFonts w:eastAsia="Arial" w:cstheme="minorHAnsi"/>
                <w:color w:val="2A2A2A"/>
              </w:rPr>
            </w:pPr>
            <w:r w:rsidRPr="00D26FEE">
              <w:rPr>
                <w:rFonts w:eastAsia="Arial" w:cstheme="minorHAnsi"/>
                <w:color w:val="2A2A2A"/>
              </w:rPr>
              <w:t>(23.8%)</w:t>
            </w:r>
          </w:p>
        </w:tc>
        <w:tc>
          <w:tcPr>
            <w:tcW w:w="2550" w:type="dxa"/>
            <w:vAlign w:val="center"/>
          </w:tcPr>
          <w:p w14:paraId="2AADB554" w14:textId="77777777" w:rsidR="00DC53A5" w:rsidRPr="00D26FEE" w:rsidRDefault="00DC53A5" w:rsidP="00BB35FE">
            <w:pPr>
              <w:jc w:val="center"/>
              <w:rPr>
                <w:rFonts w:eastAsia="Arial" w:cstheme="minorHAnsi"/>
                <w:color w:val="2A2A2A"/>
              </w:rPr>
            </w:pPr>
            <w:r w:rsidRPr="00D26FEE">
              <w:rPr>
                <w:rFonts w:eastAsia="Arial" w:cstheme="minorHAnsi"/>
                <w:color w:val="2A2A2A"/>
              </w:rPr>
              <w:t>212</w:t>
            </w:r>
          </w:p>
          <w:p w14:paraId="65121601" w14:textId="77777777" w:rsidR="00DC53A5" w:rsidRPr="00D26FEE" w:rsidRDefault="00DC53A5" w:rsidP="00BB35FE">
            <w:pPr>
              <w:jc w:val="center"/>
              <w:rPr>
                <w:rFonts w:eastAsia="Arial" w:cstheme="minorHAnsi"/>
                <w:color w:val="2A2A2A"/>
              </w:rPr>
            </w:pPr>
            <w:r w:rsidRPr="00D26FEE">
              <w:rPr>
                <w:rFonts w:eastAsia="Arial" w:cstheme="minorHAnsi"/>
                <w:color w:val="2A2A2A"/>
              </w:rPr>
              <w:t>(21.8%)</w:t>
            </w:r>
          </w:p>
        </w:tc>
        <w:tc>
          <w:tcPr>
            <w:tcW w:w="754" w:type="dxa"/>
            <w:vAlign w:val="center"/>
          </w:tcPr>
          <w:p w14:paraId="01E310F0" w14:textId="77777777" w:rsidR="00DC53A5" w:rsidRPr="00D26FEE" w:rsidRDefault="00DC53A5" w:rsidP="00BB35FE">
            <w:pPr>
              <w:jc w:val="center"/>
              <w:rPr>
                <w:rFonts w:eastAsia="Arial" w:cstheme="minorHAnsi"/>
                <w:color w:val="2A2A2A"/>
              </w:rPr>
            </w:pPr>
            <w:r w:rsidRPr="00D26FEE">
              <w:rPr>
                <w:rFonts w:eastAsia="Arial" w:cstheme="minorHAnsi"/>
                <w:color w:val="2A2A2A"/>
              </w:rPr>
              <w:t>1089</w:t>
            </w:r>
          </w:p>
        </w:tc>
      </w:tr>
    </w:tbl>
    <w:p w14:paraId="4449F05F" w14:textId="77777777" w:rsidR="00DC53A5" w:rsidRPr="0044794B" w:rsidRDefault="00DC53A5" w:rsidP="00DC53A5">
      <w:pPr>
        <w:jc w:val="both"/>
        <w:rPr>
          <w:rFonts w:asciiTheme="majorHAnsi" w:eastAsia="Arial" w:hAnsiTheme="majorHAnsi" w:cstheme="majorHAnsi"/>
          <w:color w:val="2A2A2A"/>
        </w:rPr>
      </w:pPr>
    </w:p>
    <w:p w14:paraId="63973C4F" w14:textId="1EC1FEA4" w:rsidR="00DC53A5" w:rsidRPr="00D26FEE" w:rsidRDefault="00DC53A5" w:rsidP="00D26FEE">
      <w:pPr>
        <w:spacing w:line="276" w:lineRule="auto"/>
        <w:jc w:val="both"/>
        <w:rPr>
          <w:rFonts w:eastAsia="Arial" w:cstheme="minorHAnsi"/>
          <w:color w:val="2A2A2A"/>
        </w:rPr>
      </w:pPr>
      <w:r w:rsidRPr="00D26FEE">
        <w:rPr>
          <w:rFonts w:eastAsia="Arial" w:cstheme="minorHAnsi"/>
          <w:color w:val="2A2A2A"/>
        </w:rPr>
        <w:t>The causes of death post-transplant are shown below in Table 1</w:t>
      </w:r>
      <w:r w:rsidR="00D26FEE" w:rsidRPr="00D26FEE">
        <w:rPr>
          <w:rFonts w:eastAsia="Arial" w:cstheme="minorHAnsi"/>
          <w:color w:val="2A2A2A"/>
        </w:rPr>
        <w:t>1</w:t>
      </w:r>
      <w:r w:rsidRPr="00D26FEE">
        <w:rPr>
          <w:rFonts w:eastAsia="Arial" w:cstheme="minorHAnsi"/>
          <w:color w:val="2A2A2A"/>
        </w:rPr>
        <w:t>.4 compared to the prevalent dialysis population. Whilst there are similar proportions of cardiovascular disease and infection</w:t>
      </w:r>
      <w:r w:rsidR="004B39C6">
        <w:rPr>
          <w:rFonts w:eastAsia="Arial" w:cstheme="minorHAnsi"/>
          <w:color w:val="2A2A2A"/>
        </w:rPr>
        <w:t>,</w:t>
      </w:r>
      <w:r w:rsidRPr="00D26FEE">
        <w:rPr>
          <w:rFonts w:eastAsia="Arial" w:cstheme="minorHAnsi"/>
          <w:color w:val="2A2A2A"/>
        </w:rPr>
        <w:t xml:space="preserve"> it demonstrates the overrepresented burden of malignancy in causing death post-transplant compared to the prevalent dialysis population</w:t>
      </w:r>
      <w:r w:rsidRPr="00D26FEE">
        <w:rPr>
          <w:rFonts w:eastAsia="Arial" w:cstheme="minorHAnsi"/>
          <w:color w:val="2A2A2A"/>
          <w:vertAlign w:val="superscript"/>
        </w:rPr>
        <w:t>1</w:t>
      </w:r>
      <w:r w:rsidRPr="00D26FEE">
        <w:rPr>
          <w:rFonts w:eastAsia="Arial" w:cstheme="minorHAnsi"/>
          <w:color w:val="2A2A2A"/>
        </w:rPr>
        <w:t>.</w:t>
      </w:r>
    </w:p>
    <w:p w14:paraId="3BF18DB3" w14:textId="28003501" w:rsidR="00DC53A5" w:rsidRPr="00D26FEE" w:rsidRDefault="00DC53A5" w:rsidP="00D26FEE">
      <w:pPr>
        <w:spacing w:line="276" w:lineRule="auto"/>
        <w:rPr>
          <w:rFonts w:cstheme="minorHAnsi"/>
          <w:color w:val="2A2A2A"/>
        </w:rPr>
      </w:pPr>
      <w:r w:rsidRPr="00D26FEE">
        <w:rPr>
          <w:rFonts w:eastAsia="Arial" w:cstheme="minorHAnsi"/>
          <w:b/>
          <w:color w:val="2A2A2A"/>
        </w:rPr>
        <w:t>Table 1</w:t>
      </w:r>
      <w:r w:rsidR="00D26FEE">
        <w:rPr>
          <w:rFonts w:eastAsia="Arial" w:cstheme="minorHAnsi"/>
          <w:b/>
          <w:color w:val="2A2A2A"/>
        </w:rPr>
        <w:t>1</w:t>
      </w:r>
      <w:r w:rsidRPr="00D26FEE">
        <w:rPr>
          <w:rFonts w:eastAsia="Arial" w:cstheme="minorHAnsi"/>
          <w:b/>
          <w:color w:val="2A2A2A"/>
        </w:rPr>
        <w:t>.4</w:t>
      </w:r>
      <w:r w:rsidRPr="00D26FEE">
        <w:rPr>
          <w:rFonts w:eastAsia="Arial" w:cstheme="minorHAnsi"/>
          <w:color w:val="2A2A2A"/>
        </w:rPr>
        <w:t xml:space="preserve"> from UK Renal Registry Annual Report shows </w:t>
      </w:r>
      <w:r w:rsidR="004B39C6">
        <w:rPr>
          <w:rFonts w:eastAsia="Arial" w:cstheme="minorHAnsi"/>
          <w:color w:val="2A2A2A"/>
        </w:rPr>
        <w:t xml:space="preserve">the </w:t>
      </w:r>
      <w:r w:rsidRPr="00D26FEE">
        <w:rPr>
          <w:rFonts w:eastAsia="Arial" w:cstheme="minorHAnsi"/>
          <w:color w:val="2A2A2A"/>
        </w:rPr>
        <w:t>cause of death in adult patients prevalent to RRT on 31/12/2018 followed-up in 2019 by modality</w:t>
      </w:r>
      <w:r w:rsidRPr="00D26FEE">
        <w:rPr>
          <w:rFonts w:cstheme="minorHAnsi"/>
          <w:color w:val="2A2A2A"/>
        </w:rPr>
        <w:t xml:space="preserve"> </w:t>
      </w:r>
    </w:p>
    <w:p w14:paraId="3CD5CE31" w14:textId="77777777" w:rsidR="00DC53A5" w:rsidRPr="0044794B" w:rsidRDefault="00DC53A5" w:rsidP="00DC53A5">
      <w:pPr>
        <w:rPr>
          <w:rFonts w:asciiTheme="majorHAnsi" w:eastAsia="Arial" w:hAnsiTheme="majorHAnsi" w:cstheme="majorHAnsi"/>
          <w:color w:val="2A2A2A"/>
        </w:rPr>
      </w:pPr>
      <w:r w:rsidRPr="0044794B">
        <w:rPr>
          <w:rFonts w:asciiTheme="majorHAnsi" w:hAnsiTheme="majorHAnsi" w:cstheme="majorHAnsi"/>
          <w:noProof/>
          <w:color w:val="2A2A2A"/>
        </w:rPr>
        <w:lastRenderedPageBreak/>
        <w:drawing>
          <wp:inline distT="0" distB="0" distL="0" distR="0" wp14:anchorId="44B29C52" wp14:editId="1323BD93">
            <wp:extent cx="5731510" cy="18669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1"/>
                    <a:srcRect/>
                    <a:stretch>
                      <a:fillRect/>
                    </a:stretch>
                  </pic:blipFill>
                  <pic:spPr>
                    <a:xfrm>
                      <a:off x="0" y="0"/>
                      <a:ext cx="5731510" cy="1866900"/>
                    </a:xfrm>
                    <a:prstGeom prst="rect">
                      <a:avLst/>
                    </a:prstGeom>
                    <a:ln/>
                  </pic:spPr>
                </pic:pic>
              </a:graphicData>
            </a:graphic>
          </wp:inline>
        </w:drawing>
      </w:r>
      <w:r w:rsidRPr="0044794B">
        <w:rPr>
          <w:rFonts w:asciiTheme="majorHAnsi" w:eastAsia="Times New Roman" w:hAnsiTheme="majorHAnsi" w:cstheme="majorHAnsi"/>
          <w:color w:val="2A2A2A"/>
        </w:rPr>
        <w:t xml:space="preserve"> </w:t>
      </w:r>
    </w:p>
    <w:p w14:paraId="7153F02F" w14:textId="7A8DD55D" w:rsidR="00DC53A5" w:rsidRPr="0044794B" w:rsidRDefault="00DC53A5" w:rsidP="00D26FEE">
      <w:pPr>
        <w:pStyle w:val="Heading4"/>
        <w:rPr>
          <w:rFonts w:eastAsia="Arial"/>
        </w:rPr>
      </w:pPr>
      <w:bookmarkStart w:id="181" w:name="_Toc128330084"/>
      <w:r w:rsidRPr="0044794B">
        <w:rPr>
          <w:rFonts w:eastAsia="Arial"/>
        </w:rPr>
        <w:t>1</w:t>
      </w:r>
      <w:r w:rsidR="00D26FEE">
        <w:rPr>
          <w:rFonts w:eastAsia="Arial"/>
        </w:rPr>
        <w:t>1</w:t>
      </w:r>
      <w:r w:rsidRPr="0044794B">
        <w:rPr>
          <w:rFonts w:eastAsia="Arial"/>
        </w:rPr>
        <w:t xml:space="preserve">.3.2 </w:t>
      </w:r>
      <w:r w:rsidR="009E0472">
        <w:rPr>
          <w:rFonts w:eastAsia="Arial"/>
        </w:rPr>
        <w:tab/>
      </w:r>
      <w:r w:rsidR="009E0472">
        <w:rPr>
          <w:rFonts w:eastAsia="Arial"/>
        </w:rPr>
        <w:tab/>
      </w:r>
      <w:r w:rsidRPr="0044794B">
        <w:rPr>
          <w:rFonts w:eastAsia="Arial"/>
        </w:rPr>
        <w:t>Sensitisation</w:t>
      </w:r>
      <w:bookmarkEnd w:id="181"/>
    </w:p>
    <w:p w14:paraId="3C3238BB" w14:textId="77777777" w:rsidR="00DC53A5" w:rsidRPr="00D26FEE" w:rsidRDefault="00DC53A5" w:rsidP="00D26FEE">
      <w:pPr>
        <w:spacing w:line="276" w:lineRule="auto"/>
        <w:jc w:val="both"/>
        <w:rPr>
          <w:rFonts w:eastAsia="Arial" w:cstheme="minorHAnsi"/>
          <w:color w:val="2A2A2A"/>
        </w:rPr>
      </w:pPr>
      <w:r w:rsidRPr="00D26FEE">
        <w:rPr>
          <w:rFonts w:eastAsia="Arial" w:cstheme="minorHAnsi"/>
          <w:color w:val="2A2A2A"/>
        </w:rPr>
        <w:t>Whilst infection and malignancy are significant causes of co-morbidity in those with failing transplants and might prompt a move to reduce the immunosuppression burden, this must always be balanced with the consequence of sensitisation and alloimmune graft loss.</w:t>
      </w:r>
    </w:p>
    <w:p w14:paraId="6DB728EF" w14:textId="77777777" w:rsidR="00DC53A5" w:rsidRPr="00D26FEE" w:rsidRDefault="00DC53A5" w:rsidP="00D26FEE">
      <w:pPr>
        <w:spacing w:line="276" w:lineRule="auto"/>
        <w:jc w:val="both"/>
        <w:rPr>
          <w:rFonts w:eastAsia="Arial" w:cstheme="minorHAnsi"/>
          <w:color w:val="2A2A2A"/>
        </w:rPr>
      </w:pPr>
      <w:r w:rsidRPr="00D26FEE">
        <w:rPr>
          <w:rFonts w:eastAsia="Arial" w:cstheme="minorHAnsi"/>
          <w:color w:val="2A2A2A"/>
        </w:rPr>
        <w:t>It is well known that kidney transplantation is a major sensitising event although there is a high variability in the frequency of anti-HLA antibodies detected after transplantation ranging between 1.6-60%</w:t>
      </w:r>
      <w:r w:rsidRPr="00D26FEE">
        <w:rPr>
          <w:rFonts w:eastAsia="Arial" w:cstheme="minorHAnsi"/>
          <w:color w:val="2A2A2A"/>
          <w:vertAlign w:val="superscript"/>
        </w:rPr>
        <w:t>7</w:t>
      </w:r>
      <w:r w:rsidRPr="00D26FEE">
        <w:rPr>
          <w:rFonts w:eastAsia="Arial" w:cstheme="minorHAnsi"/>
          <w:color w:val="2A2A2A"/>
        </w:rPr>
        <w:t xml:space="preserve">. </w:t>
      </w:r>
    </w:p>
    <w:p w14:paraId="26AA5236" w14:textId="0F92286E" w:rsidR="00DC53A5" w:rsidRPr="00D26FEE" w:rsidRDefault="00DC53A5" w:rsidP="00D26FEE">
      <w:pPr>
        <w:spacing w:line="276" w:lineRule="auto"/>
        <w:jc w:val="both"/>
        <w:rPr>
          <w:rFonts w:eastAsia="Arial" w:cstheme="minorHAnsi"/>
          <w:color w:val="2A2A2A"/>
        </w:rPr>
      </w:pPr>
      <w:r w:rsidRPr="00D26FEE">
        <w:rPr>
          <w:rFonts w:eastAsia="Arial" w:cstheme="minorHAnsi"/>
          <w:color w:val="2A2A2A"/>
        </w:rPr>
        <w:t>The proportion of patients who are highly sensitised (cRF&gt;=85%) on the active transplant list on 31</w:t>
      </w:r>
      <w:r w:rsidRPr="00D26FEE">
        <w:rPr>
          <w:rFonts w:eastAsia="Arial" w:cstheme="minorHAnsi"/>
          <w:color w:val="2A2A2A"/>
          <w:vertAlign w:val="superscript"/>
        </w:rPr>
        <w:t>st</w:t>
      </w:r>
      <w:r w:rsidRPr="00D26FEE">
        <w:rPr>
          <w:rFonts w:eastAsia="Arial" w:cstheme="minorHAnsi"/>
          <w:color w:val="2A2A2A"/>
        </w:rPr>
        <w:t xml:space="preserve"> August 2021 is shown in Table 1</w:t>
      </w:r>
      <w:r w:rsidR="00D26FEE">
        <w:rPr>
          <w:rFonts w:eastAsia="Arial" w:cstheme="minorHAnsi"/>
          <w:color w:val="2A2A2A"/>
        </w:rPr>
        <w:t>1</w:t>
      </w:r>
      <w:r w:rsidRPr="00D26FEE">
        <w:rPr>
          <w:rFonts w:eastAsia="Arial" w:cstheme="minorHAnsi"/>
          <w:color w:val="2A2A2A"/>
        </w:rPr>
        <w:t>.5. There is a similar proportion of highly sensitised patients in those who are suspended.</w:t>
      </w:r>
    </w:p>
    <w:p w14:paraId="6F209EFB" w14:textId="7525AF91" w:rsidR="00DC53A5" w:rsidRPr="00D26FEE" w:rsidRDefault="00DC53A5" w:rsidP="00DC53A5">
      <w:pPr>
        <w:jc w:val="both"/>
        <w:rPr>
          <w:rFonts w:eastAsia="Arial" w:cstheme="minorHAnsi"/>
          <w:color w:val="2A2A2A"/>
        </w:rPr>
      </w:pPr>
      <w:r w:rsidRPr="00D26FEE">
        <w:rPr>
          <w:rFonts w:eastAsia="Arial" w:cstheme="minorHAnsi"/>
          <w:b/>
          <w:color w:val="2A2A2A"/>
        </w:rPr>
        <w:t>Table 1</w:t>
      </w:r>
      <w:r w:rsidR="00D26FEE" w:rsidRPr="00D26FEE">
        <w:rPr>
          <w:rFonts w:eastAsia="Arial" w:cstheme="minorHAnsi"/>
          <w:b/>
          <w:color w:val="2A2A2A"/>
        </w:rPr>
        <w:t>1</w:t>
      </w:r>
      <w:r w:rsidRPr="00D26FEE">
        <w:rPr>
          <w:rFonts w:eastAsia="Arial" w:cstheme="minorHAnsi"/>
          <w:b/>
          <w:color w:val="2A2A2A"/>
        </w:rPr>
        <w:t xml:space="preserve">.5 – </w:t>
      </w:r>
      <w:r w:rsidRPr="00D26FEE">
        <w:rPr>
          <w:rFonts w:eastAsia="Arial" w:cstheme="minorHAnsi"/>
          <w:color w:val="2A2A2A"/>
        </w:rPr>
        <w:t>Calculated Reaction Frequency (cRF) of active patients on the transplant list on 31</w:t>
      </w:r>
      <w:r w:rsidRPr="00D26FEE">
        <w:rPr>
          <w:rFonts w:eastAsia="Arial" w:cstheme="minorHAnsi"/>
          <w:color w:val="2A2A2A"/>
          <w:vertAlign w:val="superscript"/>
        </w:rPr>
        <w:t>st</w:t>
      </w:r>
      <w:r w:rsidRPr="00D26FEE">
        <w:rPr>
          <w:rFonts w:eastAsia="Arial" w:cstheme="minorHAnsi"/>
          <w:color w:val="2A2A2A"/>
        </w:rPr>
        <w:t xml:space="preserve"> August 2021</w:t>
      </w:r>
    </w:p>
    <w:tbl>
      <w:tblPr>
        <w:tblW w:w="885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2953"/>
        <w:gridCol w:w="2953"/>
        <w:gridCol w:w="2953"/>
      </w:tblGrid>
      <w:tr w:rsidR="00DC53A5" w:rsidRPr="00D26FEE" w14:paraId="2C668FC8" w14:textId="77777777" w:rsidTr="00BB35FE">
        <w:trPr>
          <w:trHeight w:val="262"/>
        </w:trPr>
        <w:tc>
          <w:tcPr>
            <w:tcW w:w="2953" w:type="dxa"/>
            <w:tcBorders>
              <w:top w:val="single" w:sz="4" w:space="0" w:color="000000"/>
              <w:bottom w:val="single" w:sz="4" w:space="0" w:color="auto"/>
              <w:right w:val="single" w:sz="4" w:space="0" w:color="auto"/>
            </w:tcBorders>
            <w:vAlign w:val="center"/>
          </w:tcPr>
          <w:p w14:paraId="517FFA52" w14:textId="77777777" w:rsidR="00DC53A5" w:rsidRPr="00D26FEE" w:rsidRDefault="00DC53A5" w:rsidP="00BB35FE">
            <w:pPr>
              <w:jc w:val="center"/>
              <w:rPr>
                <w:rFonts w:eastAsia="Arial" w:cstheme="minorHAnsi"/>
                <w:b/>
                <w:color w:val="2A2A2A"/>
              </w:rPr>
            </w:pPr>
            <w:r w:rsidRPr="00D26FEE">
              <w:rPr>
                <w:rFonts w:eastAsia="Arial" w:cstheme="minorHAnsi"/>
                <w:b/>
                <w:color w:val="2A2A2A"/>
              </w:rPr>
              <w:t>cRF</w:t>
            </w:r>
          </w:p>
        </w:tc>
        <w:tc>
          <w:tcPr>
            <w:tcW w:w="2953" w:type="dxa"/>
            <w:tcBorders>
              <w:top w:val="single" w:sz="4" w:space="0" w:color="000000"/>
              <w:left w:val="single" w:sz="4" w:space="0" w:color="auto"/>
              <w:bottom w:val="single" w:sz="4" w:space="0" w:color="auto"/>
              <w:right w:val="single" w:sz="4" w:space="0" w:color="auto"/>
            </w:tcBorders>
            <w:vAlign w:val="center"/>
          </w:tcPr>
          <w:p w14:paraId="35B2EE70" w14:textId="77777777" w:rsidR="00DC53A5" w:rsidRPr="00D26FEE" w:rsidRDefault="00DC53A5" w:rsidP="00BB35FE">
            <w:pPr>
              <w:jc w:val="center"/>
              <w:rPr>
                <w:rFonts w:eastAsia="Arial" w:cstheme="minorHAnsi"/>
                <w:b/>
                <w:color w:val="2A2A2A"/>
              </w:rPr>
            </w:pPr>
            <w:r w:rsidRPr="00D26FEE">
              <w:rPr>
                <w:rFonts w:eastAsia="Arial" w:cstheme="minorHAnsi"/>
                <w:b/>
                <w:color w:val="2A2A2A"/>
              </w:rPr>
              <w:t>N</w:t>
            </w:r>
          </w:p>
        </w:tc>
        <w:tc>
          <w:tcPr>
            <w:tcW w:w="2953" w:type="dxa"/>
            <w:tcBorders>
              <w:top w:val="single" w:sz="4" w:space="0" w:color="000000"/>
              <w:left w:val="single" w:sz="4" w:space="0" w:color="auto"/>
              <w:bottom w:val="single" w:sz="4" w:space="0" w:color="auto"/>
            </w:tcBorders>
            <w:vAlign w:val="center"/>
          </w:tcPr>
          <w:p w14:paraId="2C71FF94" w14:textId="77777777" w:rsidR="00DC53A5" w:rsidRPr="00D26FEE" w:rsidRDefault="00DC53A5" w:rsidP="00BB35FE">
            <w:pPr>
              <w:jc w:val="center"/>
              <w:rPr>
                <w:rFonts w:eastAsia="Arial" w:cstheme="minorHAnsi"/>
                <w:b/>
                <w:color w:val="2A2A2A"/>
              </w:rPr>
            </w:pPr>
            <w:r w:rsidRPr="00D26FEE">
              <w:rPr>
                <w:rFonts w:eastAsia="Arial" w:cstheme="minorHAnsi"/>
                <w:b/>
                <w:color w:val="2A2A2A"/>
              </w:rPr>
              <w:t>(%)</w:t>
            </w:r>
          </w:p>
        </w:tc>
      </w:tr>
      <w:tr w:rsidR="00DC53A5" w:rsidRPr="00D26FEE" w14:paraId="12BFA604" w14:textId="77777777" w:rsidTr="00BB35FE">
        <w:trPr>
          <w:trHeight w:val="247"/>
        </w:trPr>
        <w:tc>
          <w:tcPr>
            <w:tcW w:w="2953" w:type="dxa"/>
            <w:tcBorders>
              <w:top w:val="single" w:sz="4" w:space="0" w:color="auto"/>
              <w:right w:val="single" w:sz="4" w:space="0" w:color="auto"/>
            </w:tcBorders>
            <w:vAlign w:val="center"/>
          </w:tcPr>
          <w:p w14:paraId="75A6BC47" w14:textId="77777777" w:rsidR="00DC53A5" w:rsidRPr="00D26FEE" w:rsidRDefault="00DC53A5" w:rsidP="00BB35FE">
            <w:pPr>
              <w:jc w:val="center"/>
              <w:rPr>
                <w:rFonts w:eastAsia="Arial" w:cstheme="minorHAnsi"/>
                <w:bCs/>
                <w:color w:val="2A2A2A"/>
              </w:rPr>
            </w:pPr>
            <w:r w:rsidRPr="00D26FEE">
              <w:rPr>
                <w:rFonts w:eastAsia="Arial" w:cstheme="minorHAnsi"/>
                <w:bCs/>
                <w:color w:val="2A2A2A"/>
              </w:rPr>
              <w:t>0-84%</w:t>
            </w:r>
          </w:p>
        </w:tc>
        <w:tc>
          <w:tcPr>
            <w:tcW w:w="2953" w:type="dxa"/>
            <w:tcBorders>
              <w:top w:val="single" w:sz="4" w:space="0" w:color="auto"/>
              <w:left w:val="single" w:sz="4" w:space="0" w:color="auto"/>
              <w:right w:val="single" w:sz="4" w:space="0" w:color="auto"/>
            </w:tcBorders>
            <w:vAlign w:val="center"/>
          </w:tcPr>
          <w:p w14:paraId="1891DAB8" w14:textId="77777777" w:rsidR="00DC53A5" w:rsidRPr="00D26FEE" w:rsidRDefault="00DC53A5" w:rsidP="00BB35FE">
            <w:pPr>
              <w:jc w:val="center"/>
              <w:rPr>
                <w:rFonts w:eastAsia="Arial" w:cstheme="minorHAnsi"/>
                <w:color w:val="2A2A2A"/>
              </w:rPr>
            </w:pPr>
            <w:r w:rsidRPr="00D26FEE">
              <w:rPr>
                <w:rFonts w:eastAsia="Arial" w:cstheme="minorHAnsi"/>
                <w:color w:val="2A2A2A"/>
              </w:rPr>
              <w:t>3546</w:t>
            </w:r>
          </w:p>
        </w:tc>
        <w:tc>
          <w:tcPr>
            <w:tcW w:w="2953" w:type="dxa"/>
            <w:tcBorders>
              <w:top w:val="single" w:sz="4" w:space="0" w:color="auto"/>
              <w:left w:val="single" w:sz="4" w:space="0" w:color="auto"/>
            </w:tcBorders>
            <w:vAlign w:val="center"/>
          </w:tcPr>
          <w:p w14:paraId="2E80801D" w14:textId="77777777" w:rsidR="00DC53A5" w:rsidRPr="00D26FEE" w:rsidRDefault="00DC53A5" w:rsidP="00BB35FE">
            <w:pPr>
              <w:jc w:val="center"/>
              <w:rPr>
                <w:rFonts w:eastAsia="Arial" w:cstheme="minorHAnsi"/>
                <w:color w:val="2A2A2A"/>
              </w:rPr>
            </w:pPr>
            <w:r w:rsidRPr="00D26FEE">
              <w:rPr>
                <w:rFonts w:eastAsia="Arial" w:cstheme="minorHAnsi"/>
                <w:color w:val="2A2A2A"/>
              </w:rPr>
              <w:t>(80%)</w:t>
            </w:r>
          </w:p>
        </w:tc>
      </w:tr>
      <w:tr w:rsidR="00DC53A5" w:rsidRPr="00D26FEE" w14:paraId="45EEBF43" w14:textId="77777777" w:rsidTr="00BB35FE">
        <w:trPr>
          <w:trHeight w:val="262"/>
        </w:trPr>
        <w:tc>
          <w:tcPr>
            <w:tcW w:w="2953" w:type="dxa"/>
            <w:tcBorders>
              <w:right w:val="single" w:sz="4" w:space="0" w:color="auto"/>
            </w:tcBorders>
            <w:vAlign w:val="center"/>
          </w:tcPr>
          <w:p w14:paraId="5D5093E2" w14:textId="77777777" w:rsidR="00DC53A5" w:rsidRPr="00D26FEE" w:rsidRDefault="00DC53A5" w:rsidP="00BB35FE">
            <w:pPr>
              <w:jc w:val="center"/>
              <w:rPr>
                <w:rFonts w:eastAsia="Arial" w:cstheme="minorHAnsi"/>
                <w:bCs/>
                <w:color w:val="2A2A2A"/>
              </w:rPr>
            </w:pPr>
            <w:r w:rsidRPr="00D26FEE">
              <w:rPr>
                <w:rFonts w:eastAsia="Arial" w:cstheme="minorHAnsi"/>
                <w:bCs/>
                <w:color w:val="2A2A2A"/>
              </w:rPr>
              <w:t>85-100%</w:t>
            </w:r>
          </w:p>
        </w:tc>
        <w:tc>
          <w:tcPr>
            <w:tcW w:w="2953" w:type="dxa"/>
            <w:tcBorders>
              <w:left w:val="single" w:sz="4" w:space="0" w:color="auto"/>
              <w:right w:val="single" w:sz="4" w:space="0" w:color="auto"/>
            </w:tcBorders>
            <w:vAlign w:val="center"/>
          </w:tcPr>
          <w:p w14:paraId="77463A49" w14:textId="77777777" w:rsidR="00DC53A5" w:rsidRPr="00D26FEE" w:rsidRDefault="00DC53A5" w:rsidP="00BB35FE">
            <w:pPr>
              <w:jc w:val="center"/>
              <w:rPr>
                <w:rFonts w:eastAsia="Arial" w:cstheme="minorHAnsi"/>
                <w:color w:val="2A2A2A"/>
              </w:rPr>
            </w:pPr>
            <w:r w:rsidRPr="00D26FEE">
              <w:rPr>
                <w:rFonts w:eastAsia="Arial" w:cstheme="minorHAnsi"/>
                <w:color w:val="2A2A2A"/>
              </w:rPr>
              <w:t>904</w:t>
            </w:r>
          </w:p>
        </w:tc>
        <w:tc>
          <w:tcPr>
            <w:tcW w:w="2953" w:type="dxa"/>
            <w:tcBorders>
              <w:left w:val="single" w:sz="4" w:space="0" w:color="auto"/>
            </w:tcBorders>
            <w:vAlign w:val="center"/>
          </w:tcPr>
          <w:p w14:paraId="5C370604" w14:textId="77777777" w:rsidR="00DC53A5" w:rsidRPr="00D26FEE" w:rsidRDefault="00DC53A5" w:rsidP="00BB35FE">
            <w:pPr>
              <w:jc w:val="center"/>
              <w:rPr>
                <w:rFonts w:eastAsia="Arial" w:cstheme="minorHAnsi"/>
                <w:color w:val="2A2A2A"/>
              </w:rPr>
            </w:pPr>
            <w:r w:rsidRPr="00D26FEE">
              <w:rPr>
                <w:rFonts w:eastAsia="Arial" w:cstheme="minorHAnsi"/>
                <w:color w:val="2A2A2A"/>
              </w:rPr>
              <w:t>(20%)</w:t>
            </w:r>
          </w:p>
        </w:tc>
      </w:tr>
    </w:tbl>
    <w:p w14:paraId="732C582F" w14:textId="77777777" w:rsidR="00DC53A5" w:rsidRDefault="00DC53A5" w:rsidP="00DC53A5">
      <w:pPr>
        <w:jc w:val="both"/>
        <w:rPr>
          <w:rFonts w:asciiTheme="majorHAnsi" w:eastAsia="Arial" w:hAnsiTheme="majorHAnsi" w:cstheme="majorHAnsi"/>
          <w:color w:val="2A2A2A"/>
        </w:rPr>
      </w:pPr>
    </w:p>
    <w:p w14:paraId="07400408" w14:textId="795AE53C" w:rsidR="00DC53A5" w:rsidRPr="00D26FEE" w:rsidRDefault="00DC53A5" w:rsidP="00D26FEE">
      <w:pPr>
        <w:spacing w:line="276" w:lineRule="auto"/>
        <w:jc w:val="both"/>
        <w:rPr>
          <w:rFonts w:eastAsia="Arial" w:cstheme="minorHAnsi"/>
          <w:color w:val="2A2A2A"/>
        </w:rPr>
      </w:pPr>
      <w:r w:rsidRPr="00D26FEE">
        <w:rPr>
          <w:rFonts w:eastAsia="Arial" w:cstheme="minorHAnsi"/>
          <w:color w:val="2A2A2A"/>
        </w:rPr>
        <w:t>Of those highly sensitised, the proportion by graft number is shown in Table 1</w:t>
      </w:r>
      <w:r w:rsidR="00D26FEE" w:rsidRPr="00D26FEE">
        <w:rPr>
          <w:rFonts w:eastAsia="Arial" w:cstheme="minorHAnsi"/>
          <w:color w:val="2A2A2A"/>
        </w:rPr>
        <w:t>1</w:t>
      </w:r>
      <w:r w:rsidRPr="00D26FEE">
        <w:rPr>
          <w:rFonts w:eastAsia="Arial" w:cstheme="minorHAnsi"/>
          <w:color w:val="2A2A2A"/>
        </w:rPr>
        <w:t>.6.1. This demonstrates that 67% of those with a cRF =/&gt; 85% are those who have received one or more previous kidney transplants. Conversely, of those who are not highly sensitised, less than 10% have had one or more previous transplants. These patients will most likely have avoided sensitisation by receiving a well-matched transplant.</w:t>
      </w:r>
    </w:p>
    <w:p w14:paraId="3DE74B3F" w14:textId="34BDD1DD" w:rsidR="00DC53A5" w:rsidRPr="00D26FEE" w:rsidRDefault="00DC53A5" w:rsidP="00DC53A5">
      <w:pPr>
        <w:jc w:val="both"/>
        <w:rPr>
          <w:rFonts w:eastAsia="Arial" w:cstheme="minorHAnsi"/>
          <w:color w:val="2A2A2A"/>
        </w:rPr>
      </w:pPr>
      <w:r w:rsidRPr="00D26FEE">
        <w:rPr>
          <w:rFonts w:eastAsia="Arial" w:cstheme="minorHAnsi"/>
          <w:b/>
          <w:color w:val="2A2A2A"/>
        </w:rPr>
        <w:t>Table 1</w:t>
      </w:r>
      <w:r w:rsidR="00D26FEE">
        <w:rPr>
          <w:rFonts w:eastAsia="Arial" w:cstheme="minorHAnsi"/>
          <w:b/>
          <w:color w:val="2A2A2A"/>
        </w:rPr>
        <w:t>1</w:t>
      </w:r>
      <w:r w:rsidRPr="00D26FEE">
        <w:rPr>
          <w:rFonts w:eastAsia="Arial" w:cstheme="minorHAnsi"/>
          <w:b/>
          <w:color w:val="2A2A2A"/>
        </w:rPr>
        <w:t xml:space="preserve">.6.1 </w:t>
      </w:r>
      <w:r w:rsidRPr="00D26FEE">
        <w:rPr>
          <w:rFonts w:eastAsia="Arial" w:cstheme="minorHAnsi"/>
          <w:color w:val="2A2A2A"/>
        </w:rPr>
        <w:t>Number of previous transplants in those patients actively listed with cRF=/&gt; 85% and cRF 0 – 85% on 31</w:t>
      </w:r>
      <w:r w:rsidRPr="00D26FEE">
        <w:rPr>
          <w:rFonts w:eastAsia="Arial" w:cstheme="minorHAnsi"/>
          <w:color w:val="2A2A2A"/>
          <w:vertAlign w:val="superscript"/>
        </w:rPr>
        <w:t>st</w:t>
      </w:r>
      <w:r w:rsidRPr="00D26FEE">
        <w:rPr>
          <w:rFonts w:eastAsia="Arial" w:cstheme="minorHAnsi"/>
          <w:color w:val="2A2A2A"/>
        </w:rPr>
        <w:t xml:space="preserve"> August 2021 </w:t>
      </w:r>
    </w:p>
    <w:tbl>
      <w:tblPr>
        <w:tblW w:w="9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580"/>
        <w:gridCol w:w="3195"/>
        <w:gridCol w:w="3345"/>
      </w:tblGrid>
      <w:tr w:rsidR="00DC53A5" w:rsidRPr="00D26FEE" w14:paraId="22B12CD2" w14:textId="77777777" w:rsidTr="00BB35FE">
        <w:trPr>
          <w:trHeight w:val="555"/>
        </w:trPr>
        <w:tc>
          <w:tcPr>
            <w:tcW w:w="2580" w:type="dxa"/>
            <w:vAlign w:val="center"/>
          </w:tcPr>
          <w:p w14:paraId="6D3E8D65" w14:textId="77777777" w:rsidR="00DC53A5" w:rsidRPr="00D26FEE" w:rsidRDefault="00DC53A5" w:rsidP="00BB35FE">
            <w:pPr>
              <w:jc w:val="center"/>
              <w:rPr>
                <w:rFonts w:eastAsia="Arial" w:cstheme="minorHAnsi"/>
                <w:b/>
                <w:color w:val="2A2A2A"/>
              </w:rPr>
            </w:pPr>
            <w:r w:rsidRPr="00D26FEE">
              <w:rPr>
                <w:rFonts w:eastAsia="Arial" w:cstheme="minorHAnsi"/>
                <w:b/>
                <w:color w:val="2A2A2A"/>
              </w:rPr>
              <w:t>Number of previous transplants</w:t>
            </w:r>
          </w:p>
        </w:tc>
        <w:tc>
          <w:tcPr>
            <w:tcW w:w="3195" w:type="dxa"/>
            <w:vAlign w:val="center"/>
          </w:tcPr>
          <w:p w14:paraId="13C34FE9" w14:textId="77777777" w:rsidR="00DC53A5" w:rsidRPr="00D26FEE" w:rsidRDefault="00DC53A5" w:rsidP="00BB35FE">
            <w:pPr>
              <w:jc w:val="center"/>
              <w:rPr>
                <w:rFonts w:eastAsia="Arial" w:cstheme="minorHAnsi"/>
                <w:color w:val="2A2A2A"/>
              </w:rPr>
            </w:pPr>
            <w:r w:rsidRPr="00D26FEE">
              <w:rPr>
                <w:rFonts w:eastAsia="Arial" w:cstheme="minorHAnsi"/>
                <w:color w:val="2A2A2A"/>
              </w:rPr>
              <w:t xml:space="preserve">Number of patients with </w:t>
            </w:r>
          </w:p>
          <w:p w14:paraId="46DD46A1" w14:textId="77777777" w:rsidR="00DC53A5" w:rsidRPr="00D26FEE" w:rsidRDefault="00DC53A5" w:rsidP="00BB35FE">
            <w:pPr>
              <w:jc w:val="center"/>
              <w:rPr>
                <w:rFonts w:eastAsia="Arial" w:cstheme="minorHAnsi"/>
                <w:b/>
                <w:color w:val="2A2A2A"/>
              </w:rPr>
            </w:pPr>
            <w:r w:rsidRPr="00D26FEE">
              <w:rPr>
                <w:rFonts w:eastAsia="Arial" w:cstheme="minorHAnsi"/>
                <w:color w:val="2A2A2A"/>
              </w:rPr>
              <w:t>cRF =/&gt; 85% (%)</w:t>
            </w:r>
          </w:p>
        </w:tc>
        <w:tc>
          <w:tcPr>
            <w:tcW w:w="3345" w:type="dxa"/>
            <w:vAlign w:val="center"/>
          </w:tcPr>
          <w:p w14:paraId="31EB760A" w14:textId="77777777" w:rsidR="00DC53A5" w:rsidRPr="00D26FEE" w:rsidRDefault="00DC53A5" w:rsidP="00BB35FE">
            <w:pPr>
              <w:jc w:val="center"/>
              <w:rPr>
                <w:rFonts w:eastAsia="Arial" w:cstheme="minorHAnsi"/>
                <w:color w:val="2A2A2A"/>
              </w:rPr>
            </w:pPr>
            <w:r w:rsidRPr="00D26FEE">
              <w:rPr>
                <w:rFonts w:eastAsia="Arial" w:cstheme="minorHAnsi"/>
                <w:color w:val="2A2A2A"/>
              </w:rPr>
              <w:t xml:space="preserve">Number of patients with </w:t>
            </w:r>
          </w:p>
          <w:p w14:paraId="311C3886" w14:textId="77777777" w:rsidR="00DC53A5" w:rsidRPr="00D26FEE" w:rsidRDefault="00DC53A5" w:rsidP="00BB35FE">
            <w:pPr>
              <w:jc w:val="center"/>
              <w:rPr>
                <w:rFonts w:eastAsia="Arial" w:cstheme="minorHAnsi"/>
                <w:color w:val="2A2A2A"/>
              </w:rPr>
            </w:pPr>
            <w:r w:rsidRPr="00D26FEE">
              <w:rPr>
                <w:rFonts w:eastAsia="Arial" w:cstheme="minorHAnsi"/>
                <w:color w:val="2A2A2A"/>
              </w:rPr>
              <w:t>cRF 0 - 85% (%)</w:t>
            </w:r>
          </w:p>
        </w:tc>
      </w:tr>
      <w:tr w:rsidR="00DC53A5" w:rsidRPr="00D26FEE" w14:paraId="23EA4235" w14:textId="77777777" w:rsidTr="00BB35FE">
        <w:trPr>
          <w:trHeight w:val="450"/>
        </w:trPr>
        <w:tc>
          <w:tcPr>
            <w:tcW w:w="2580" w:type="dxa"/>
            <w:vMerge w:val="restart"/>
            <w:vAlign w:val="center"/>
          </w:tcPr>
          <w:p w14:paraId="02113A5A" w14:textId="77777777" w:rsidR="00DC53A5" w:rsidRPr="00D26FEE" w:rsidRDefault="00DC53A5" w:rsidP="00BB35FE">
            <w:pPr>
              <w:jc w:val="center"/>
              <w:rPr>
                <w:rFonts w:eastAsia="Arial" w:cstheme="minorHAnsi"/>
                <w:color w:val="2A2A2A"/>
              </w:rPr>
            </w:pPr>
            <w:r w:rsidRPr="00D26FEE">
              <w:rPr>
                <w:rFonts w:eastAsia="Arial" w:cstheme="minorHAnsi"/>
                <w:color w:val="2A2A2A"/>
              </w:rPr>
              <w:t>0</w:t>
            </w:r>
          </w:p>
          <w:p w14:paraId="69F83BCD" w14:textId="77777777" w:rsidR="00DC53A5" w:rsidRPr="00D26FEE" w:rsidRDefault="00DC53A5" w:rsidP="00BB35FE">
            <w:pPr>
              <w:jc w:val="center"/>
              <w:rPr>
                <w:rFonts w:eastAsia="Arial" w:cstheme="minorHAnsi"/>
                <w:color w:val="2A2A2A"/>
              </w:rPr>
            </w:pPr>
            <w:r w:rsidRPr="00D26FEE">
              <w:rPr>
                <w:rFonts w:eastAsia="Arial" w:cstheme="minorHAnsi"/>
                <w:color w:val="2A2A2A"/>
              </w:rPr>
              <w:t>1</w:t>
            </w:r>
          </w:p>
          <w:p w14:paraId="731B0EA6" w14:textId="77777777" w:rsidR="00DC53A5" w:rsidRPr="00D26FEE" w:rsidRDefault="00DC53A5" w:rsidP="00BB35FE">
            <w:pPr>
              <w:jc w:val="center"/>
              <w:rPr>
                <w:rFonts w:eastAsia="Arial" w:cstheme="minorHAnsi"/>
                <w:color w:val="2A2A2A"/>
              </w:rPr>
            </w:pPr>
            <w:r w:rsidRPr="00D26FEE">
              <w:rPr>
                <w:rFonts w:eastAsia="Arial" w:cstheme="minorHAnsi"/>
                <w:color w:val="2A2A2A"/>
              </w:rPr>
              <w:lastRenderedPageBreak/>
              <w:t>2</w:t>
            </w:r>
          </w:p>
          <w:p w14:paraId="700DEBB7" w14:textId="77777777" w:rsidR="00DC53A5" w:rsidRPr="00D26FEE" w:rsidRDefault="00DC53A5" w:rsidP="00BB35FE">
            <w:pPr>
              <w:jc w:val="center"/>
              <w:rPr>
                <w:rFonts w:eastAsia="Arial" w:cstheme="minorHAnsi"/>
                <w:color w:val="2A2A2A"/>
              </w:rPr>
            </w:pPr>
            <w:r w:rsidRPr="00D26FEE">
              <w:rPr>
                <w:rFonts w:eastAsia="Arial" w:cstheme="minorHAnsi"/>
                <w:color w:val="2A2A2A"/>
              </w:rPr>
              <w:t>3</w:t>
            </w:r>
          </w:p>
          <w:p w14:paraId="6118BD98" w14:textId="77777777" w:rsidR="00DC53A5" w:rsidRPr="00D26FEE" w:rsidRDefault="00DC53A5" w:rsidP="00BB35FE">
            <w:pPr>
              <w:jc w:val="center"/>
              <w:rPr>
                <w:rFonts w:eastAsia="Arial" w:cstheme="minorHAnsi"/>
                <w:color w:val="2A2A2A"/>
              </w:rPr>
            </w:pPr>
            <w:r w:rsidRPr="00D26FEE">
              <w:rPr>
                <w:rFonts w:eastAsia="Arial" w:cstheme="minorHAnsi"/>
                <w:color w:val="2A2A2A"/>
              </w:rPr>
              <w:t>4</w:t>
            </w:r>
          </w:p>
        </w:tc>
        <w:tc>
          <w:tcPr>
            <w:tcW w:w="3195" w:type="dxa"/>
            <w:vMerge w:val="restart"/>
            <w:vAlign w:val="center"/>
          </w:tcPr>
          <w:p w14:paraId="0D2E62A3" w14:textId="77777777" w:rsidR="00DC53A5" w:rsidRPr="00D26FEE" w:rsidRDefault="00DC53A5" w:rsidP="00BB35FE">
            <w:pPr>
              <w:jc w:val="center"/>
              <w:rPr>
                <w:rFonts w:eastAsia="Arial" w:cstheme="minorHAnsi"/>
                <w:color w:val="2A2A2A"/>
              </w:rPr>
            </w:pPr>
            <w:r w:rsidRPr="00D26FEE">
              <w:rPr>
                <w:rFonts w:eastAsia="Arial" w:cstheme="minorHAnsi"/>
                <w:color w:val="2A2A2A"/>
              </w:rPr>
              <w:lastRenderedPageBreak/>
              <w:t>298 (33.0%)</w:t>
            </w:r>
          </w:p>
          <w:p w14:paraId="478AC8B4" w14:textId="77777777" w:rsidR="00DC53A5" w:rsidRPr="00D26FEE" w:rsidRDefault="00DC53A5" w:rsidP="00BB35FE">
            <w:pPr>
              <w:jc w:val="center"/>
              <w:rPr>
                <w:rFonts w:eastAsia="Arial" w:cstheme="minorHAnsi"/>
                <w:color w:val="2A2A2A"/>
              </w:rPr>
            </w:pPr>
            <w:r w:rsidRPr="00D26FEE">
              <w:rPr>
                <w:rFonts w:eastAsia="Arial" w:cstheme="minorHAnsi"/>
                <w:color w:val="2A2A2A"/>
              </w:rPr>
              <w:t>469 (51.9%)</w:t>
            </w:r>
          </w:p>
          <w:p w14:paraId="324271CA" w14:textId="77777777" w:rsidR="00DC53A5" w:rsidRPr="00D26FEE" w:rsidRDefault="00DC53A5" w:rsidP="00BB35FE">
            <w:pPr>
              <w:jc w:val="center"/>
              <w:rPr>
                <w:rFonts w:eastAsia="Arial" w:cstheme="minorHAnsi"/>
                <w:color w:val="2A2A2A"/>
              </w:rPr>
            </w:pPr>
            <w:r w:rsidRPr="00D26FEE">
              <w:rPr>
                <w:rFonts w:eastAsia="Arial" w:cstheme="minorHAnsi"/>
                <w:color w:val="2A2A2A"/>
              </w:rPr>
              <w:lastRenderedPageBreak/>
              <w:t>115 (12.7%)</w:t>
            </w:r>
          </w:p>
          <w:p w14:paraId="3A142867" w14:textId="77777777" w:rsidR="00DC53A5" w:rsidRPr="00D26FEE" w:rsidRDefault="00DC53A5" w:rsidP="00BB35FE">
            <w:pPr>
              <w:jc w:val="center"/>
              <w:rPr>
                <w:rFonts w:eastAsia="Arial" w:cstheme="minorHAnsi"/>
                <w:color w:val="2A2A2A"/>
              </w:rPr>
            </w:pPr>
            <w:r w:rsidRPr="00D26FEE">
              <w:rPr>
                <w:rFonts w:eastAsia="Arial" w:cstheme="minorHAnsi"/>
                <w:color w:val="2A2A2A"/>
              </w:rPr>
              <w:t>16 (1.8%)</w:t>
            </w:r>
          </w:p>
          <w:p w14:paraId="325EBEFA" w14:textId="77777777" w:rsidR="00DC53A5" w:rsidRPr="00D26FEE" w:rsidRDefault="00DC53A5" w:rsidP="00BB35FE">
            <w:pPr>
              <w:jc w:val="center"/>
              <w:rPr>
                <w:rFonts w:eastAsia="Arial" w:cstheme="minorHAnsi"/>
                <w:color w:val="2A2A2A"/>
              </w:rPr>
            </w:pPr>
            <w:r w:rsidRPr="00D26FEE">
              <w:rPr>
                <w:rFonts w:eastAsia="Arial" w:cstheme="minorHAnsi"/>
                <w:color w:val="2A2A2A"/>
              </w:rPr>
              <w:t>6 (0.7%)</w:t>
            </w:r>
          </w:p>
        </w:tc>
        <w:tc>
          <w:tcPr>
            <w:tcW w:w="3345" w:type="dxa"/>
            <w:vMerge w:val="restart"/>
            <w:vAlign w:val="center"/>
          </w:tcPr>
          <w:p w14:paraId="77D14233" w14:textId="77777777" w:rsidR="00DC53A5" w:rsidRPr="00D26FEE" w:rsidRDefault="00DC53A5" w:rsidP="00BB35FE">
            <w:pPr>
              <w:jc w:val="center"/>
              <w:rPr>
                <w:rFonts w:eastAsia="Arial" w:cstheme="minorHAnsi"/>
                <w:color w:val="2A2A2A"/>
              </w:rPr>
            </w:pPr>
            <w:r w:rsidRPr="00D26FEE">
              <w:rPr>
                <w:rFonts w:eastAsia="Arial" w:cstheme="minorHAnsi"/>
                <w:color w:val="2A2A2A"/>
              </w:rPr>
              <w:lastRenderedPageBreak/>
              <w:t>3197 (90.2%)</w:t>
            </w:r>
          </w:p>
          <w:p w14:paraId="31E5A660" w14:textId="77777777" w:rsidR="00DC53A5" w:rsidRPr="00D26FEE" w:rsidRDefault="00DC53A5" w:rsidP="00BB35FE">
            <w:pPr>
              <w:jc w:val="center"/>
              <w:rPr>
                <w:rFonts w:eastAsia="Arial" w:cstheme="minorHAnsi"/>
                <w:color w:val="2A2A2A"/>
              </w:rPr>
            </w:pPr>
            <w:r w:rsidRPr="00D26FEE">
              <w:rPr>
                <w:rFonts w:eastAsia="Arial" w:cstheme="minorHAnsi"/>
                <w:color w:val="2A2A2A"/>
              </w:rPr>
              <w:t>324 (9.1%)</w:t>
            </w:r>
          </w:p>
          <w:p w14:paraId="522C707D" w14:textId="77777777" w:rsidR="00DC53A5" w:rsidRPr="00D26FEE" w:rsidRDefault="00DC53A5" w:rsidP="00BB35FE">
            <w:pPr>
              <w:jc w:val="center"/>
              <w:rPr>
                <w:rFonts w:eastAsia="Arial" w:cstheme="minorHAnsi"/>
                <w:color w:val="2A2A2A"/>
              </w:rPr>
            </w:pPr>
            <w:r w:rsidRPr="00D26FEE">
              <w:rPr>
                <w:rFonts w:eastAsia="Arial" w:cstheme="minorHAnsi"/>
                <w:color w:val="2A2A2A"/>
              </w:rPr>
              <w:lastRenderedPageBreak/>
              <w:t>24 (0.7%)</w:t>
            </w:r>
          </w:p>
          <w:p w14:paraId="0DE44D6B" w14:textId="77777777" w:rsidR="00DC53A5" w:rsidRPr="00D26FEE" w:rsidRDefault="00DC53A5" w:rsidP="00BB35FE">
            <w:pPr>
              <w:jc w:val="center"/>
              <w:rPr>
                <w:rFonts w:eastAsia="Arial" w:cstheme="minorHAnsi"/>
                <w:color w:val="2A2A2A"/>
              </w:rPr>
            </w:pPr>
            <w:r w:rsidRPr="00D26FEE">
              <w:rPr>
                <w:rFonts w:eastAsia="Arial" w:cstheme="minorHAnsi"/>
                <w:color w:val="2A2A2A"/>
              </w:rPr>
              <w:t>&lt;5 (&lt;0.1%)</w:t>
            </w:r>
          </w:p>
          <w:p w14:paraId="0A7ACBD4" w14:textId="77777777" w:rsidR="00DC53A5" w:rsidRPr="00D26FEE" w:rsidRDefault="00DC53A5" w:rsidP="00BB35FE">
            <w:pPr>
              <w:jc w:val="center"/>
              <w:rPr>
                <w:rFonts w:eastAsia="Arial" w:cstheme="minorHAnsi"/>
                <w:color w:val="2A2A2A"/>
              </w:rPr>
            </w:pPr>
            <w:r w:rsidRPr="00D26FEE">
              <w:rPr>
                <w:rFonts w:eastAsia="Arial" w:cstheme="minorHAnsi"/>
                <w:color w:val="2A2A2A"/>
              </w:rPr>
              <w:t>-</w:t>
            </w:r>
          </w:p>
        </w:tc>
      </w:tr>
      <w:tr w:rsidR="00DC53A5" w:rsidRPr="0044794B" w14:paraId="61779C54" w14:textId="77777777" w:rsidTr="00BB35FE">
        <w:trPr>
          <w:trHeight w:val="450"/>
        </w:trPr>
        <w:tc>
          <w:tcPr>
            <w:tcW w:w="2580" w:type="dxa"/>
            <w:vMerge/>
            <w:vAlign w:val="center"/>
          </w:tcPr>
          <w:p w14:paraId="6CFABBF3" w14:textId="77777777" w:rsidR="00DC53A5" w:rsidRPr="0044794B" w:rsidRDefault="00DC53A5" w:rsidP="00BB35FE">
            <w:pPr>
              <w:jc w:val="both"/>
              <w:rPr>
                <w:rFonts w:asciiTheme="majorHAnsi" w:eastAsia="Arial" w:hAnsiTheme="majorHAnsi" w:cstheme="majorHAnsi"/>
                <w:color w:val="2A2A2A"/>
              </w:rPr>
            </w:pPr>
          </w:p>
        </w:tc>
        <w:tc>
          <w:tcPr>
            <w:tcW w:w="3195" w:type="dxa"/>
            <w:vMerge/>
            <w:vAlign w:val="center"/>
          </w:tcPr>
          <w:p w14:paraId="6A094B2B" w14:textId="77777777" w:rsidR="00DC53A5" w:rsidRPr="0044794B" w:rsidRDefault="00DC53A5" w:rsidP="00BB35FE">
            <w:pPr>
              <w:jc w:val="both"/>
              <w:rPr>
                <w:rFonts w:asciiTheme="majorHAnsi" w:eastAsia="Arial" w:hAnsiTheme="majorHAnsi" w:cstheme="majorHAnsi"/>
                <w:color w:val="2A2A2A"/>
              </w:rPr>
            </w:pPr>
          </w:p>
        </w:tc>
        <w:tc>
          <w:tcPr>
            <w:tcW w:w="3345" w:type="dxa"/>
            <w:vMerge/>
            <w:vAlign w:val="center"/>
          </w:tcPr>
          <w:p w14:paraId="01958E10" w14:textId="77777777" w:rsidR="00DC53A5" w:rsidRPr="0044794B" w:rsidRDefault="00DC53A5" w:rsidP="00BB35FE">
            <w:pPr>
              <w:jc w:val="both"/>
              <w:rPr>
                <w:rFonts w:asciiTheme="majorHAnsi" w:eastAsia="Arial" w:hAnsiTheme="majorHAnsi" w:cstheme="majorHAnsi"/>
                <w:color w:val="2A2A2A"/>
              </w:rPr>
            </w:pPr>
          </w:p>
        </w:tc>
      </w:tr>
      <w:tr w:rsidR="00DC53A5" w:rsidRPr="0044794B" w14:paraId="33F1A107" w14:textId="77777777" w:rsidTr="00BB35FE">
        <w:trPr>
          <w:trHeight w:val="450"/>
        </w:trPr>
        <w:tc>
          <w:tcPr>
            <w:tcW w:w="2580" w:type="dxa"/>
            <w:vMerge/>
            <w:vAlign w:val="center"/>
          </w:tcPr>
          <w:p w14:paraId="44B53C46" w14:textId="77777777" w:rsidR="00DC53A5" w:rsidRPr="0044794B" w:rsidRDefault="00DC53A5" w:rsidP="00BB35FE">
            <w:pPr>
              <w:jc w:val="both"/>
              <w:rPr>
                <w:rFonts w:asciiTheme="majorHAnsi" w:eastAsia="Arial" w:hAnsiTheme="majorHAnsi" w:cstheme="majorHAnsi"/>
                <w:color w:val="2A2A2A"/>
              </w:rPr>
            </w:pPr>
          </w:p>
        </w:tc>
        <w:tc>
          <w:tcPr>
            <w:tcW w:w="3195" w:type="dxa"/>
            <w:vMerge/>
            <w:vAlign w:val="center"/>
          </w:tcPr>
          <w:p w14:paraId="77D63519" w14:textId="77777777" w:rsidR="00DC53A5" w:rsidRPr="0044794B" w:rsidRDefault="00DC53A5" w:rsidP="00BB35FE">
            <w:pPr>
              <w:jc w:val="both"/>
              <w:rPr>
                <w:rFonts w:asciiTheme="majorHAnsi" w:eastAsia="Arial" w:hAnsiTheme="majorHAnsi" w:cstheme="majorHAnsi"/>
                <w:color w:val="2A2A2A"/>
              </w:rPr>
            </w:pPr>
          </w:p>
        </w:tc>
        <w:tc>
          <w:tcPr>
            <w:tcW w:w="3345" w:type="dxa"/>
            <w:vMerge/>
            <w:vAlign w:val="center"/>
          </w:tcPr>
          <w:p w14:paraId="6FC000F5" w14:textId="77777777" w:rsidR="00DC53A5" w:rsidRPr="0044794B" w:rsidRDefault="00DC53A5" w:rsidP="00BB35FE">
            <w:pPr>
              <w:jc w:val="both"/>
              <w:rPr>
                <w:rFonts w:asciiTheme="majorHAnsi" w:eastAsia="Arial" w:hAnsiTheme="majorHAnsi" w:cstheme="majorHAnsi"/>
                <w:color w:val="2A2A2A"/>
              </w:rPr>
            </w:pPr>
          </w:p>
        </w:tc>
      </w:tr>
      <w:tr w:rsidR="00DC53A5" w:rsidRPr="0044794B" w14:paraId="1BD47EF3" w14:textId="77777777" w:rsidTr="00BB35FE">
        <w:trPr>
          <w:trHeight w:val="450"/>
        </w:trPr>
        <w:tc>
          <w:tcPr>
            <w:tcW w:w="2580" w:type="dxa"/>
            <w:vMerge/>
            <w:vAlign w:val="center"/>
          </w:tcPr>
          <w:p w14:paraId="57BB6448" w14:textId="77777777" w:rsidR="00DC53A5" w:rsidRPr="0044794B" w:rsidRDefault="00DC53A5" w:rsidP="00BB35FE">
            <w:pPr>
              <w:jc w:val="both"/>
              <w:rPr>
                <w:rFonts w:asciiTheme="majorHAnsi" w:eastAsia="Arial" w:hAnsiTheme="majorHAnsi" w:cstheme="majorHAnsi"/>
                <w:color w:val="2A2A2A"/>
              </w:rPr>
            </w:pPr>
          </w:p>
        </w:tc>
        <w:tc>
          <w:tcPr>
            <w:tcW w:w="3195" w:type="dxa"/>
            <w:vMerge/>
            <w:vAlign w:val="center"/>
          </w:tcPr>
          <w:p w14:paraId="4B02F6B9" w14:textId="77777777" w:rsidR="00DC53A5" w:rsidRPr="0044794B" w:rsidRDefault="00DC53A5" w:rsidP="00BB35FE">
            <w:pPr>
              <w:jc w:val="both"/>
              <w:rPr>
                <w:rFonts w:asciiTheme="majorHAnsi" w:eastAsia="Arial" w:hAnsiTheme="majorHAnsi" w:cstheme="majorHAnsi"/>
                <w:color w:val="2A2A2A"/>
              </w:rPr>
            </w:pPr>
          </w:p>
        </w:tc>
        <w:tc>
          <w:tcPr>
            <w:tcW w:w="3345" w:type="dxa"/>
            <w:vMerge/>
            <w:vAlign w:val="center"/>
          </w:tcPr>
          <w:p w14:paraId="4BBFE582" w14:textId="77777777" w:rsidR="00DC53A5" w:rsidRPr="0044794B" w:rsidRDefault="00DC53A5" w:rsidP="00BB35FE">
            <w:pPr>
              <w:jc w:val="both"/>
              <w:rPr>
                <w:rFonts w:asciiTheme="majorHAnsi" w:eastAsia="Arial" w:hAnsiTheme="majorHAnsi" w:cstheme="majorHAnsi"/>
                <w:color w:val="2A2A2A"/>
              </w:rPr>
            </w:pPr>
          </w:p>
        </w:tc>
      </w:tr>
      <w:tr w:rsidR="00DC53A5" w:rsidRPr="0044794B" w14:paraId="47B6AD86" w14:textId="77777777" w:rsidTr="00BB35FE">
        <w:trPr>
          <w:trHeight w:val="450"/>
        </w:trPr>
        <w:tc>
          <w:tcPr>
            <w:tcW w:w="2580" w:type="dxa"/>
            <w:vMerge/>
            <w:vAlign w:val="center"/>
          </w:tcPr>
          <w:p w14:paraId="4216F822" w14:textId="77777777" w:rsidR="00DC53A5" w:rsidRPr="0044794B" w:rsidRDefault="00DC53A5" w:rsidP="00BB35FE">
            <w:pPr>
              <w:jc w:val="both"/>
              <w:rPr>
                <w:rFonts w:asciiTheme="majorHAnsi" w:eastAsia="Arial" w:hAnsiTheme="majorHAnsi" w:cstheme="majorHAnsi"/>
                <w:color w:val="2A2A2A"/>
              </w:rPr>
            </w:pPr>
          </w:p>
        </w:tc>
        <w:tc>
          <w:tcPr>
            <w:tcW w:w="3195" w:type="dxa"/>
            <w:vMerge/>
            <w:vAlign w:val="center"/>
          </w:tcPr>
          <w:p w14:paraId="063A119D" w14:textId="77777777" w:rsidR="00DC53A5" w:rsidRPr="0044794B" w:rsidRDefault="00DC53A5" w:rsidP="00BB35FE">
            <w:pPr>
              <w:jc w:val="both"/>
              <w:rPr>
                <w:rFonts w:asciiTheme="majorHAnsi" w:eastAsia="Arial" w:hAnsiTheme="majorHAnsi" w:cstheme="majorHAnsi"/>
                <w:color w:val="2A2A2A"/>
              </w:rPr>
            </w:pPr>
          </w:p>
        </w:tc>
        <w:tc>
          <w:tcPr>
            <w:tcW w:w="3345" w:type="dxa"/>
            <w:vMerge/>
            <w:vAlign w:val="center"/>
          </w:tcPr>
          <w:p w14:paraId="7CC25EAA" w14:textId="77777777" w:rsidR="00DC53A5" w:rsidRPr="0044794B" w:rsidRDefault="00DC53A5" w:rsidP="00BB35FE">
            <w:pPr>
              <w:jc w:val="both"/>
              <w:rPr>
                <w:rFonts w:asciiTheme="majorHAnsi" w:eastAsia="Arial" w:hAnsiTheme="majorHAnsi" w:cstheme="majorHAnsi"/>
                <w:color w:val="2A2A2A"/>
              </w:rPr>
            </w:pPr>
          </w:p>
        </w:tc>
      </w:tr>
    </w:tbl>
    <w:p w14:paraId="550382D2" w14:textId="77777777" w:rsidR="00A403B8" w:rsidRDefault="00A403B8" w:rsidP="00A403B8">
      <w:pPr>
        <w:spacing w:line="276" w:lineRule="auto"/>
        <w:jc w:val="both"/>
        <w:rPr>
          <w:rFonts w:eastAsia="Arial" w:cstheme="minorHAnsi"/>
          <w:color w:val="2A2A2A"/>
        </w:rPr>
      </w:pPr>
    </w:p>
    <w:p w14:paraId="462BBAA2" w14:textId="56DC1AF8" w:rsidR="00DC53A5" w:rsidRPr="00A403B8" w:rsidRDefault="00DC53A5" w:rsidP="00A403B8">
      <w:pPr>
        <w:spacing w:line="276" w:lineRule="auto"/>
        <w:jc w:val="both"/>
        <w:rPr>
          <w:rFonts w:eastAsia="Arial" w:cstheme="minorHAnsi"/>
          <w:b/>
          <w:color w:val="2A2A2A"/>
        </w:rPr>
      </w:pPr>
      <w:r w:rsidRPr="00A403B8">
        <w:rPr>
          <w:rFonts w:eastAsia="Arial" w:cstheme="minorHAnsi"/>
          <w:color w:val="2A2A2A"/>
        </w:rPr>
        <w:t>The impact of transplantation as a significant sensitising event is demonstrated in the median cRF being at the time of re-transplant (Table 1</w:t>
      </w:r>
      <w:r w:rsidR="00D26FEE" w:rsidRPr="00A403B8">
        <w:rPr>
          <w:rFonts w:eastAsia="Arial" w:cstheme="minorHAnsi"/>
          <w:color w:val="2A2A2A"/>
        </w:rPr>
        <w:t>1</w:t>
      </w:r>
      <w:r w:rsidRPr="00A403B8">
        <w:rPr>
          <w:rFonts w:eastAsia="Arial" w:cstheme="minorHAnsi"/>
          <w:color w:val="2A2A2A"/>
        </w:rPr>
        <w:t xml:space="preserve">.6.2). </w:t>
      </w:r>
    </w:p>
    <w:p w14:paraId="16A3A13C" w14:textId="44C1CC6A" w:rsidR="00DC53A5" w:rsidRPr="00A403B8" w:rsidRDefault="00DC53A5" w:rsidP="00DC53A5">
      <w:pPr>
        <w:spacing w:before="240" w:after="240"/>
        <w:jc w:val="both"/>
        <w:rPr>
          <w:rFonts w:eastAsia="Arial" w:cstheme="minorHAnsi"/>
          <w:b/>
          <w:color w:val="2A2A2A"/>
        </w:rPr>
      </w:pPr>
      <w:r w:rsidRPr="00A403B8">
        <w:rPr>
          <w:rFonts w:eastAsia="Arial" w:cstheme="minorHAnsi"/>
          <w:b/>
          <w:color w:val="2A2A2A"/>
        </w:rPr>
        <w:t>Table 1</w:t>
      </w:r>
      <w:r w:rsidR="00D26FEE" w:rsidRPr="00A403B8">
        <w:rPr>
          <w:rFonts w:eastAsia="Arial" w:cstheme="minorHAnsi"/>
          <w:b/>
          <w:color w:val="2A2A2A"/>
        </w:rPr>
        <w:t>1</w:t>
      </w:r>
      <w:r w:rsidRPr="00A403B8">
        <w:rPr>
          <w:rFonts w:eastAsia="Arial" w:cstheme="minorHAnsi"/>
          <w:b/>
          <w:color w:val="2A2A2A"/>
        </w:rPr>
        <w:t xml:space="preserve">.6.2 </w:t>
      </w:r>
      <w:r w:rsidRPr="00A403B8">
        <w:rPr>
          <w:rFonts w:eastAsia="Arial" w:cstheme="minorHAnsi"/>
          <w:bCs/>
          <w:color w:val="2A2A2A"/>
        </w:rPr>
        <w:t>cRF at transplant, UK kidney only transplants 2016-2020</w:t>
      </w:r>
    </w:p>
    <w:tbl>
      <w:tblPr>
        <w:tblW w:w="9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256"/>
        <w:gridCol w:w="2256"/>
        <w:gridCol w:w="2257"/>
        <w:gridCol w:w="2257"/>
      </w:tblGrid>
      <w:tr w:rsidR="00DC53A5" w:rsidRPr="00A403B8" w14:paraId="0A5D79AC" w14:textId="77777777" w:rsidTr="00BB35FE">
        <w:tc>
          <w:tcPr>
            <w:tcW w:w="22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E6D401C" w14:textId="77777777" w:rsidR="00DC53A5" w:rsidRPr="00A403B8" w:rsidRDefault="00DC53A5" w:rsidP="00BB35FE">
            <w:pPr>
              <w:spacing w:after="0" w:line="240" w:lineRule="auto"/>
              <w:jc w:val="center"/>
              <w:rPr>
                <w:rFonts w:eastAsia="Arial" w:cstheme="minorHAnsi"/>
                <w:b/>
                <w:color w:val="2A2A2A"/>
              </w:rPr>
            </w:pPr>
            <w:r w:rsidRPr="00A403B8">
              <w:rPr>
                <w:rFonts w:eastAsia="Arial" w:cstheme="minorHAnsi"/>
                <w:b/>
                <w:color w:val="2A2A2A"/>
              </w:rPr>
              <w:t>Graft Number</w:t>
            </w:r>
          </w:p>
        </w:tc>
        <w:tc>
          <w:tcPr>
            <w:tcW w:w="22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0412652" w14:textId="77777777" w:rsidR="00DC53A5" w:rsidRPr="00A403B8" w:rsidRDefault="00DC53A5" w:rsidP="00BB35FE">
            <w:pPr>
              <w:spacing w:after="0" w:line="240" w:lineRule="auto"/>
              <w:jc w:val="center"/>
              <w:rPr>
                <w:rFonts w:eastAsia="Arial" w:cstheme="minorHAnsi"/>
                <w:b/>
                <w:color w:val="2A2A2A"/>
              </w:rPr>
            </w:pPr>
            <w:r w:rsidRPr="00A403B8">
              <w:rPr>
                <w:rFonts w:eastAsia="Arial" w:cstheme="minorHAnsi"/>
                <w:b/>
                <w:color w:val="2A2A2A"/>
              </w:rPr>
              <w:t>N</w:t>
            </w:r>
          </w:p>
        </w:tc>
        <w:tc>
          <w:tcPr>
            <w:tcW w:w="225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E6801D0" w14:textId="77777777" w:rsidR="00DC53A5" w:rsidRPr="00A403B8" w:rsidRDefault="00DC53A5" w:rsidP="00BB35FE">
            <w:pPr>
              <w:spacing w:after="0" w:line="240" w:lineRule="auto"/>
              <w:jc w:val="center"/>
              <w:rPr>
                <w:rFonts w:eastAsia="Arial" w:cstheme="minorHAnsi"/>
                <w:b/>
                <w:color w:val="2A2A2A"/>
              </w:rPr>
            </w:pPr>
            <w:r w:rsidRPr="00A403B8">
              <w:rPr>
                <w:rFonts w:eastAsia="Arial" w:cstheme="minorHAnsi"/>
                <w:b/>
                <w:color w:val="2A2A2A"/>
              </w:rPr>
              <w:t>Median cRF</w:t>
            </w:r>
          </w:p>
        </w:tc>
        <w:tc>
          <w:tcPr>
            <w:tcW w:w="225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71A633A" w14:textId="77777777" w:rsidR="00DC53A5" w:rsidRPr="00A403B8" w:rsidRDefault="00DC53A5" w:rsidP="00BB35FE">
            <w:pPr>
              <w:spacing w:after="0" w:line="240" w:lineRule="auto"/>
              <w:jc w:val="center"/>
              <w:rPr>
                <w:rFonts w:eastAsia="Arial" w:cstheme="minorHAnsi"/>
                <w:b/>
                <w:color w:val="2A2A2A"/>
              </w:rPr>
            </w:pPr>
            <w:r w:rsidRPr="00A403B8">
              <w:rPr>
                <w:rFonts w:eastAsia="Arial" w:cstheme="minorHAnsi"/>
                <w:b/>
                <w:color w:val="2A2A2A"/>
              </w:rPr>
              <w:t>(Q1-Q3)</w:t>
            </w:r>
          </w:p>
        </w:tc>
      </w:tr>
      <w:tr w:rsidR="00DC53A5" w:rsidRPr="00A403B8" w14:paraId="7FDC53F6" w14:textId="77777777" w:rsidTr="00BB35FE">
        <w:trPr>
          <w:trHeight w:val="1136"/>
        </w:trPr>
        <w:tc>
          <w:tcPr>
            <w:tcW w:w="2256" w:type="dxa"/>
            <w:tcBorders>
              <w:top w:val="single" w:sz="4" w:space="0" w:color="000000"/>
              <w:left w:val="single" w:sz="4" w:space="0" w:color="000000"/>
              <w:right w:val="single" w:sz="4" w:space="0" w:color="000000"/>
            </w:tcBorders>
            <w:tcMar>
              <w:top w:w="0" w:type="dxa"/>
              <w:left w:w="0" w:type="dxa"/>
              <w:bottom w:w="0" w:type="dxa"/>
              <w:right w:w="0" w:type="dxa"/>
            </w:tcMar>
            <w:vAlign w:val="center"/>
          </w:tcPr>
          <w:p w14:paraId="3F11678B" w14:textId="77777777" w:rsidR="00DC53A5" w:rsidRPr="00A403B8" w:rsidRDefault="00DC53A5" w:rsidP="00BB35FE">
            <w:pPr>
              <w:spacing w:after="0" w:line="240" w:lineRule="auto"/>
              <w:jc w:val="center"/>
              <w:rPr>
                <w:rFonts w:eastAsia="Arial" w:cstheme="minorHAnsi"/>
                <w:color w:val="2A2A2A"/>
              </w:rPr>
            </w:pPr>
            <w:r w:rsidRPr="00A403B8">
              <w:rPr>
                <w:rFonts w:eastAsia="Arial" w:cstheme="minorHAnsi"/>
                <w:color w:val="2A2A2A"/>
              </w:rPr>
              <w:t>1</w:t>
            </w:r>
          </w:p>
          <w:p w14:paraId="19BE11D8" w14:textId="77777777" w:rsidR="00DC53A5" w:rsidRPr="00A403B8" w:rsidRDefault="00DC53A5" w:rsidP="00BB35FE">
            <w:pPr>
              <w:spacing w:after="0" w:line="240" w:lineRule="auto"/>
              <w:jc w:val="center"/>
              <w:rPr>
                <w:rFonts w:eastAsia="Arial" w:cstheme="minorHAnsi"/>
                <w:color w:val="2A2A2A"/>
              </w:rPr>
            </w:pPr>
            <w:r w:rsidRPr="00A403B8">
              <w:rPr>
                <w:rFonts w:eastAsia="Arial" w:cstheme="minorHAnsi"/>
                <w:color w:val="2A2A2A"/>
              </w:rPr>
              <w:t>2</w:t>
            </w:r>
          </w:p>
          <w:p w14:paraId="2BBF56D9" w14:textId="77777777" w:rsidR="00DC53A5" w:rsidRPr="00A403B8" w:rsidRDefault="00DC53A5" w:rsidP="00BB35FE">
            <w:pPr>
              <w:spacing w:after="0" w:line="240" w:lineRule="auto"/>
              <w:jc w:val="center"/>
              <w:rPr>
                <w:rFonts w:eastAsia="Arial" w:cstheme="minorHAnsi"/>
                <w:color w:val="2A2A2A"/>
              </w:rPr>
            </w:pPr>
            <w:r w:rsidRPr="00A403B8">
              <w:rPr>
                <w:rFonts w:eastAsia="Arial" w:cstheme="minorHAnsi"/>
                <w:color w:val="2A2A2A"/>
              </w:rPr>
              <w:t>3</w:t>
            </w:r>
          </w:p>
          <w:p w14:paraId="66739254" w14:textId="77777777" w:rsidR="00DC53A5" w:rsidRPr="00A403B8" w:rsidRDefault="00DC53A5" w:rsidP="00BB35FE">
            <w:pPr>
              <w:spacing w:after="0" w:line="240" w:lineRule="auto"/>
              <w:jc w:val="center"/>
              <w:rPr>
                <w:rFonts w:eastAsia="Arial" w:cstheme="minorHAnsi"/>
                <w:color w:val="2A2A2A"/>
              </w:rPr>
            </w:pPr>
            <w:r w:rsidRPr="00A403B8">
              <w:rPr>
                <w:rFonts w:eastAsia="Arial" w:cstheme="minorHAnsi"/>
                <w:color w:val="2A2A2A"/>
              </w:rPr>
              <w:t>4</w:t>
            </w:r>
          </w:p>
        </w:tc>
        <w:tc>
          <w:tcPr>
            <w:tcW w:w="2256" w:type="dxa"/>
            <w:tcBorders>
              <w:top w:val="single" w:sz="4" w:space="0" w:color="000000"/>
              <w:left w:val="single" w:sz="4" w:space="0" w:color="000000"/>
              <w:right w:val="single" w:sz="4" w:space="0" w:color="000000"/>
            </w:tcBorders>
            <w:tcMar>
              <w:top w:w="0" w:type="dxa"/>
              <w:left w:w="0" w:type="dxa"/>
              <w:bottom w:w="0" w:type="dxa"/>
              <w:right w:w="0" w:type="dxa"/>
            </w:tcMar>
            <w:vAlign w:val="center"/>
          </w:tcPr>
          <w:p w14:paraId="7AC19600" w14:textId="77777777" w:rsidR="00DC53A5" w:rsidRPr="00A403B8" w:rsidRDefault="00DC53A5" w:rsidP="00BB35FE">
            <w:pPr>
              <w:spacing w:after="0" w:line="240" w:lineRule="auto"/>
              <w:jc w:val="center"/>
              <w:rPr>
                <w:rFonts w:eastAsia="Arial" w:cstheme="minorHAnsi"/>
                <w:color w:val="2A2A2A"/>
              </w:rPr>
            </w:pPr>
            <w:r w:rsidRPr="00A403B8">
              <w:rPr>
                <w:rFonts w:eastAsia="Arial" w:cstheme="minorHAnsi"/>
                <w:color w:val="2A2A2A"/>
              </w:rPr>
              <w:t>13372</w:t>
            </w:r>
          </w:p>
          <w:p w14:paraId="6FA47702" w14:textId="77777777" w:rsidR="00DC53A5" w:rsidRPr="00A403B8" w:rsidRDefault="00DC53A5" w:rsidP="00BB35FE">
            <w:pPr>
              <w:spacing w:after="0" w:line="240" w:lineRule="auto"/>
              <w:jc w:val="center"/>
              <w:rPr>
                <w:rFonts w:eastAsia="Arial" w:cstheme="minorHAnsi"/>
                <w:color w:val="2A2A2A"/>
              </w:rPr>
            </w:pPr>
            <w:r w:rsidRPr="00A403B8">
              <w:rPr>
                <w:rFonts w:eastAsia="Arial" w:cstheme="minorHAnsi"/>
                <w:color w:val="2A2A2A"/>
              </w:rPr>
              <w:t>2109</w:t>
            </w:r>
          </w:p>
          <w:p w14:paraId="13766F0E" w14:textId="77777777" w:rsidR="00DC53A5" w:rsidRPr="00A403B8" w:rsidRDefault="00DC53A5" w:rsidP="00BB35FE">
            <w:pPr>
              <w:spacing w:after="0" w:line="240" w:lineRule="auto"/>
              <w:jc w:val="center"/>
              <w:rPr>
                <w:rFonts w:eastAsia="Arial" w:cstheme="minorHAnsi"/>
                <w:color w:val="2A2A2A"/>
              </w:rPr>
            </w:pPr>
            <w:r w:rsidRPr="00A403B8">
              <w:rPr>
                <w:rFonts w:eastAsia="Arial" w:cstheme="minorHAnsi"/>
                <w:color w:val="2A2A2A"/>
              </w:rPr>
              <w:t>315</w:t>
            </w:r>
          </w:p>
          <w:p w14:paraId="418F3225" w14:textId="77777777" w:rsidR="00DC53A5" w:rsidRPr="00A403B8" w:rsidRDefault="00DC53A5" w:rsidP="00BB35FE">
            <w:pPr>
              <w:spacing w:after="0" w:line="240" w:lineRule="auto"/>
              <w:jc w:val="center"/>
              <w:rPr>
                <w:rFonts w:eastAsia="Arial" w:cstheme="minorHAnsi"/>
                <w:color w:val="2A2A2A"/>
              </w:rPr>
            </w:pPr>
            <w:r w:rsidRPr="00A403B8">
              <w:rPr>
                <w:rFonts w:eastAsia="Arial" w:cstheme="minorHAnsi"/>
                <w:color w:val="2A2A2A"/>
              </w:rPr>
              <w:t>48</w:t>
            </w:r>
          </w:p>
        </w:tc>
        <w:tc>
          <w:tcPr>
            <w:tcW w:w="2257" w:type="dxa"/>
            <w:tcBorders>
              <w:top w:val="single" w:sz="4" w:space="0" w:color="000000"/>
              <w:left w:val="single" w:sz="4" w:space="0" w:color="000000"/>
              <w:right w:val="single" w:sz="4" w:space="0" w:color="000000"/>
            </w:tcBorders>
            <w:tcMar>
              <w:top w:w="0" w:type="dxa"/>
              <w:left w:w="0" w:type="dxa"/>
              <w:bottom w:w="0" w:type="dxa"/>
              <w:right w:w="0" w:type="dxa"/>
            </w:tcMar>
            <w:vAlign w:val="center"/>
          </w:tcPr>
          <w:p w14:paraId="2D8388EA" w14:textId="77777777" w:rsidR="00DC53A5" w:rsidRPr="00A403B8" w:rsidRDefault="00DC53A5" w:rsidP="00BB35FE">
            <w:pPr>
              <w:spacing w:after="0" w:line="240" w:lineRule="auto"/>
              <w:jc w:val="center"/>
              <w:rPr>
                <w:rFonts w:eastAsia="Arial" w:cstheme="minorHAnsi"/>
                <w:color w:val="2A2A2A"/>
              </w:rPr>
            </w:pPr>
            <w:r w:rsidRPr="00A403B8">
              <w:rPr>
                <w:rFonts w:eastAsia="Arial" w:cstheme="minorHAnsi"/>
                <w:color w:val="2A2A2A"/>
              </w:rPr>
              <w:t>0</w:t>
            </w:r>
          </w:p>
          <w:p w14:paraId="2A2839D3" w14:textId="77777777" w:rsidR="00DC53A5" w:rsidRPr="00A403B8" w:rsidRDefault="00DC53A5" w:rsidP="00BB35FE">
            <w:pPr>
              <w:spacing w:after="0" w:line="240" w:lineRule="auto"/>
              <w:jc w:val="center"/>
              <w:rPr>
                <w:rFonts w:eastAsia="Arial" w:cstheme="minorHAnsi"/>
                <w:color w:val="2A2A2A"/>
              </w:rPr>
            </w:pPr>
            <w:r w:rsidRPr="00A403B8">
              <w:rPr>
                <w:rFonts w:eastAsia="Arial" w:cstheme="minorHAnsi"/>
                <w:color w:val="2A2A2A"/>
              </w:rPr>
              <w:t>76</w:t>
            </w:r>
          </w:p>
          <w:p w14:paraId="643F0BB2" w14:textId="77777777" w:rsidR="00DC53A5" w:rsidRPr="00A403B8" w:rsidRDefault="00DC53A5" w:rsidP="00BB35FE">
            <w:pPr>
              <w:spacing w:after="0" w:line="240" w:lineRule="auto"/>
              <w:jc w:val="center"/>
              <w:rPr>
                <w:rFonts w:eastAsia="Arial" w:cstheme="minorHAnsi"/>
                <w:color w:val="2A2A2A"/>
              </w:rPr>
            </w:pPr>
            <w:r w:rsidRPr="00A403B8">
              <w:rPr>
                <w:rFonts w:eastAsia="Arial" w:cstheme="minorHAnsi"/>
                <w:color w:val="2A2A2A"/>
              </w:rPr>
              <w:t>94</w:t>
            </w:r>
          </w:p>
          <w:p w14:paraId="61B0A6C5" w14:textId="77777777" w:rsidR="00DC53A5" w:rsidRPr="00A403B8" w:rsidRDefault="00DC53A5" w:rsidP="00BB35FE">
            <w:pPr>
              <w:spacing w:after="0" w:line="240" w:lineRule="auto"/>
              <w:jc w:val="center"/>
              <w:rPr>
                <w:rFonts w:eastAsia="Arial" w:cstheme="minorHAnsi"/>
                <w:color w:val="2A2A2A"/>
              </w:rPr>
            </w:pPr>
            <w:r w:rsidRPr="00A403B8">
              <w:rPr>
                <w:rFonts w:eastAsia="Arial" w:cstheme="minorHAnsi"/>
                <w:color w:val="2A2A2A"/>
              </w:rPr>
              <w:t>97</w:t>
            </w:r>
          </w:p>
        </w:tc>
        <w:tc>
          <w:tcPr>
            <w:tcW w:w="2257" w:type="dxa"/>
            <w:tcBorders>
              <w:top w:val="single" w:sz="4" w:space="0" w:color="000000"/>
              <w:left w:val="single" w:sz="4" w:space="0" w:color="000000"/>
              <w:right w:val="single" w:sz="4" w:space="0" w:color="000000"/>
            </w:tcBorders>
            <w:tcMar>
              <w:top w:w="0" w:type="dxa"/>
              <w:left w:w="0" w:type="dxa"/>
              <w:bottom w:w="0" w:type="dxa"/>
              <w:right w:w="0" w:type="dxa"/>
            </w:tcMar>
            <w:vAlign w:val="center"/>
          </w:tcPr>
          <w:p w14:paraId="50FABE1D" w14:textId="77777777" w:rsidR="00DC53A5" w:rsidRPr="00A403B8" w:rsidRDefault="00DC53A5" w:rsidP="00BB35FE">
            <w:pPr>
              <w:spacing w:after="0" w:line="240" w:lineRule="auto"/>
              <w:jc w:val="center"/>
              <w:rPr>
                <w:rFonts w:eastAsia="Arial" w:cstheme="minorHAnsi"/>
                <w:color w:val="2A2A2A"/>
              </w:rPr>
            </w:pPr>
            <w:r w:rsidRPr="00A403B8">
              <w:rPr>
                <w:rFonts w:eastAsia="Arial" w:cstheme="minorHAnsi"/>
                <w:color w:val="2A2A2A"/>
              </w:rPr>
              <w:t>(0-22)</w:t>
            </w:r>
          </w:p>
          <w:p w14:paraId="3E5C439D" w14:textId="77777777" w:rsidR="00DC53A5" w:rsidRPr="00A403B8" w:rsidRDefault="00DC53A5" w:rsidP="00BB35FE">
            <w:pPr>
              <w:spacing w:after="0" w:line="240" w:lineRule="auto"/>
              <w:jc w:val="center"/>
              <w:rPr>
                <w:rFonts w:eastAsia="Arial" w:cstheme="minorHAnsi"/>
                <w:color w:val="2A2A2A"/>
              </w:rPr>
            </w:pPr>
            <w:r w:rsidRPr="00A403B8">
              <w:rPr>
                <w:rFonts w:eastAsia="Arial" w:cstheme="minorHAnsi"/>
                <w:color w:val="2A2A2A"/>
              </w:rPr>
              <w:t>(25-96)</w:t>
            </w:r>
          </w:p>
          <w:p w14:paraId="749AB925" w14:textId="77777777" w:rsidR="00DC53A5" w:rsidRPr="00A403B8" w:rsidRDefault="00DC53A5" w:rsidP="00BB35FE">
            <w:pPr>
              <w:spacing w:after="0" w:line="240" w:lineRule="auto"/>
              <w:jc w:val="center"/>
              <w:rPr>
                <w:rFonts w:eastAsia="Arial" w:cstheme="minorHAnsi"/>
                <w:color w:val="2A2A2A"/>
              </w:rPr>
            </w:pPr>
            <w:r w:rsidRPr="00A403B8">
              <w:rPr>
                <w:rFonts w:eastAsia="Arial" w:cstheme="minorHAnsi"/>
                <w:color w:val="2A2A2A"/>
              </w:rPr>
              <w:t>(78-99)</w:t>
            </w:r>
          </w:p>
          <w:p w14:paraId="6EBDBBD9" w14:textId="77777777" w:rsidR="00DC53A5" w:rsidRPr="00A403B8" w:rsidRDefault="00DC53A5" w:rsidP="00BB35FE">
            <w:pPr>
              <w:spacing w:after="0" w:line="240" w:lineRule="auto"/>
              <w:jc w:val="center"/>
              <w:rPr>
                <w:rFonts w:eastAsia="Arial" w:cstheme="minorHAnsi"/>
                <w:color w:val="2A2A2A"/>
              </w:rPr>
            </w:pPr>
            <w:r w:rsidRPr="00A403B8">
              <w:rPr>
                <w:rFonts w:eastAsia="Arial" w:cstheme="minorHAnsi"/>
                <w:color w:val="2A2A2A"/>
              </w:rPr>
              <w:t>(82-99)</w:t>
            </w:r>
          </w:p>
        </w:tc>
      </w:tr>
    </w:tbl>
    <w:p w14:paraId="5B0DD8B8" w14:textId="77777777" w:rsidR="00A403B8" w:rsidRDefault="00A403B8" w:rsidP="00A403B8">
      <w:pPr>
        <w:pStyle w:val="Heading4"/>
        <w:rPr>
          <w:rFonts w:eastAsia="Arial"/>
        </w:rPr>
      </w:pPr>
    </w:p>
    <w:p w14:paraId="428E065E" w14:textId="4D3B3548" w:rsidR="00DC53A5" w:rsidRPr="00A403B8" w:rsidRDefault="00DC53A5" w:rsidP="00A403B8">
      <w:pPr>
        <w:pStyle w:val="Heading4"/>
        <w:rPr>
          <w:rFonts w:eastAsia="Arial"/>
        </w:rPr>
      </w:pPr>
      <w:bookmarkStart w:id="182" w:name="_Toc128330085"/>
      <w:r w:rsidRPr="00A403B8">
        <w:rPr>
          <w:rFonts w:eastAsia="Arial"/>
        </w:rPr>
        <w:t>1</w:t>
      </w:r>
      <w:r w:rsidR="00A403B8">
        <w:rPr>
          <w:rFonts w:eastAsia="Arial"/>
        </w:rPr>
        <w:t>1</w:t>
      </w:r>
      <w:r w:rsidRPr="00A403B8">
        <w:rPr>
          <w:rFonts w:eastAsia="Arial"/>
        </w:rPr>
        <w:t xml:space="preserve">.3.3 </w:t>
      </w:r>
      <w:r w:rsidR="009E0472">
        <w:rPr>
          <w:rFonts w:eastAsia="Arial"/>
        </w:rPr>
        <w:tab/>
      </w:r>
      <w:r w:rsidR="009E0472">
        <w:rPr>
          <w:rFonts w:eastAsia="Arial"/>
        </w:rPr>
        <w:tab/>
      </w:r>
      <w:r w:rsidRPr="00A403B8">
        <w:rPr>
          <w:rFonts w:eastAsia="Arial"/>
        </w:rPr>
        <w:t>Relisting</w:t>
      </w:r>
      <w:bookmarkEnd w:id="182"/>
    </w:p>
    <w:p w14:paraId="5D9723AE" w14:textId="756BECD4" w:rsidR="00DC53A5" w:rsidRPr="00A403B8" w:rsidRDefault="00DC53A5" w:rsidP="00A403B8">
      <w:pPr>
        <w:spacing w:line="276" w:lineRule="auto"/>
        <w:jc w:val="both"/>
        <w:rPr>
          <w:rFonts w:eastAsia="Arial" w:cstheme="minorHAnsi"/>
          <w:color w:val="2A2A2A"/>
        </w:rPr>
      </w:pPr>
      <w:r w:rsidRPr="00A403B8">
        <w:rPr>
          <w:rFonts w:eastAsia="Arial" w:cstheme="minorHAnsi"/>
          <w:color w:val="2A2A2A"/>
        </w:rPr>
        <w:t>In the US, about 85% of RFKTs will never return to the transplant waiting list</w:t>
      </w:r>
      <w:r w:rsidRPr="00A403B8">
        <w:rPr>
          <w:rFonts w:eastAsia="Arial" w:cstheme="minorHAnsi"/>
          <w:color w:val="2A2A2A"/>
          <w:vertAlign w:val="superscript"/>
        </w:rPr>
        <w:t>8-9</w:t>
      </w:r>
      <w:r w:rsidRPr="00A403B8">
        <w:rPr>
          <w:rFonts w:eastAsia="Arial" w:cstheme="minorHAnsi"/>
          <w:color w:val="2A2A2A"/>
        </w:rPr>
        <w:t xml:space="preserve">. This is </w:t>
      </w:r>
      <w:proofErr w:type="gramStart"/>
      <w:r w:rsidRPr="00A403B8">
        <w:rPr>
          <w:rFonts w:eastAsia="Arial" w:cstheme="minorHAnsi"/>
          <w:color w:val="2A2A2A"/>
        </w:rPr>
        <w:t>similar to</w:t>
      </w:r>
      <w:proofErr w:type="gramEnd"/>
      <w:r w:rsidRPr="00A403B8">
        <w:rPr>
          <w:rFonts w:eastAsia="Arial" w:cstheme="minorHAnsi"/>
          <w:color w:val="2A2A2A"/>
        </w:rPr>
        <w:t xml:space="preserve"> the UK. Table 1</w:t>
      </w:r>
      <w:r w:rsidR="00A403B8">
        <w:rPr>
          <w:rFonts w:eastAsia="Arial" w:cstheme="minorHAnsi"/>
          <w:color w:val="2A2A2A"/>
        </w:rPr>
        <w:t>1</w:t>
      </w:r>
      <w:r w:rsidRPr="00A403B8">
        <w:rPr>
          <w:rFonts w:eastAsia="Arial" w:cstheme="minorHAnsi"/>
          <w:color w:val="2A2A2A"/>
        </w:rPr>
        <w:t xml:space="preserve">.7 shows the number of patients with (one or more) failed kidney allografts on the </w:t>
      </w:r>
      <w:r w:rsidR="004B39C6">
        <w:rPr>
          <w:rFonts w:eastAsia="Arial" w:cstheme="minorHAnsi"/>
          <w:color w:val="2A2A2A"/>
        </w:rPr>
        <w:t>kidney-only</w:t>
      </w:r>
      <w:r w:rsidRPr="00A403B8">
        <w:rPr>
          <w:rFonts w:eastAsia="Arial" w:cstheme="minorHAnsi"/>
          <w:color w:val="2A2A2A"/>
        </w:rPr>
        <w:t xml:space="preserve"> transplant list. The low proportion of patients considered for re-transplantation is mainly due to increasing age and comorbidity, </w:t>
      </w:r>
      <w:proofErr w:type="gramStart"/>
      <w:r w:rsidRPr="00A403B8">
        <w:rPr>
          <w:rFonts w:eastAsia="Arial" w:cstheme="minorHAnsi"/>
          <w:color w:val="2A2A2A"/>
        </w:rPr>
        <w:t>and also</w:t>
      </w:r>
      <w:proofErr w:type="gramEnd"/>
      <w:r w:rsidRPr="00A403B8">
        <w:rPr>
          <w:rFonts w:eastAsia="Arial" w:cstheme="minorHAnsi"/>
          <w:color w:val="2A2A2A"/>
        </w:rPr>
        <w:t xml:space="preserve"> reflects the high death rate observed after graft failure described above.</w:t>
      </w:r>
    </w:p>
    <w:p w14:paraId="0A40BAC2" w14:textId="12867368" w:rsidR="00DC53A5" w:rsidRPr="00A403B8" w:rsidRDefault="00DC53A5" w:rsidP="00A403B8">
      <w:pPr>
        <w:spacing w:line="276" w:lineRule="auto"/>
        <w:jc w:val="both"/>
        <w:rPr>
          <w:rFonts w:eastAsia="Arial" w:cstheme="minorHAnsi"/>
          <w:color w:val="2A2A2A"/>
          <w:highlight w:val="white"/>
        </w:rPr>
      </w:pPr>
      <w:r w:rsidRPr="00A403B8">
        <w:rPr>
          <w:rFonts w:eastAsia="Arial" w:cstheme="minorHAnsi"/>
          <w:b/>
          <w:color w:val="2A2A2A"/>
          <w:highlight w:val="white"/>
        </w:rPr>
        <w:t>Table 1</w:t>
      </w:r>
      <w:r w:rsidR="00A403B8">
        <w:rPr>
          <w:rFonts w:eastAsia="Arial" w:cstheme="minorHAnsi"/>
          <w:b/>
          <w:color w:val="2A2A2A"/>
          <w:highlight w:val="white"/>
        </w:rPr>
        <w:t>1</w:t>
      </w:r>
      <w:r w:rsidRPr="00A403B8">
        <w:rPr>
          <w:rFonts w:eastAsia="Arial" w:cstheme="minorHAnsi"/>
          <w:b/>
          <w:color w:val="2A2A2A"/>
          <w:highlight w:val="white"/>
        </w:rPr>
        <w:t>.7</w:t>
      </w:r>
      <w:r w:rsidRPr="00A403B8">
        <w:rPr>
          <w:rFonts w:eastAsia="Arial" w:cstheme="minorHAnsi"/>
          <w:color w:val="2A2A2A"/>
          <w:highlight w:val="white"/>
        </w:rPr>
        <w:t xml:space="preserve"> Prevalence of patients with one or more previously failed graft on </w:t>
      </w:r>
      <w:r w:rsidR="004B39C6">
        <w:rPr>
          <w:rFonts w:eastAsia="Arial" w:cstheme="minorHAnsi"/>
          <w:color w:val="2A2A2A"/>
          <w:highlight w:val="white"/>
        </w:rPr>
        <w:t>kidney-only</w:t>
      </w:r>
      <w:r w:rsidRPr="00A403B8">
        <w:rPr>
          <w:rFonts w:eastAsia="Arial" w:cstheme="minorHAnsi"/>
          <w:color w:val="2A2A2A"/>
          <w:highlight w:val="white"/>
        </w:rPr>
        <w:t xml:space="preserve"> transplant list on 31</w:t>
      </w:r>
      <w:r w:rsidRPr="00A403B8">
        <w:rPr>
          <w:rFonts w:eastAsia="Arial" w:cstheme="minorHAnsi"/>
          <w:color w:val="2A2A2A"/>
          <w:highlight w:val="white"/>
          <w:vertAlign w:val="superscript"/>
        </w:rPr>
        <w:t>st</w:t>
      </w:r>
      <w:r w:rsidRPr="00A403B8">
        <w:rPr>
          <w:rFonts w:eastAsia="Arial" w:cstheme="minorHAnsi"/>
          <w:color w:val="2A2A2A"/>
          <w:highlight w:val="white"/>
        </w:rPr>
        <w:t xml:space="preserve"> August 2021</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005"/>
        <w:gridCol w:w="3005"/>
        <w:gridCol w:w="3006"/>
      </w:tblGrid>
      <w:tr w:rsidR="00DC53A5" w:rsidRPr="00A403B8" w14:paraId="199A611F" w14:textId="77777777" w:rsidTr="00BB35FE">
        <w:tc>
          <w:tcPr>
            <w:tcW w:w="3005" w:type="dxa"/>
          </w:tcPr>
          <w:p w14:paraId="70495135" w14:textId="77777777" w:rsidR="00DC53A5" w:rsidRPr="00A403B8" w:rsidRDefault="00DC53A5" w:rsidP="00BB35FE">
            <w:pPr>
              <w:jc w:val="center"/>
              <w:rPr>
                <w:rFonts w:eastAsia="Arial" w:cstheme="minorHAnsi"/>
                <w:color w:val="2A2A2A"/>
              </w:rPr>
            </w:pPr>
          </w:p>
        </w:tc>
        <w:tc>
          <w:tcPr>
            <w:tcW w:w="3005" w:type="dxa"/>
            <w:vAlign w:val="center"/>
          </w:tcPr>
          <w:p w14:paraId="47BD48F4" w14:textId="77777777" w:rsidR="00DC53A5" w:rsidRPr="00A403B8" w:rsidRDefault="00DC53A5" w:rsidP="00BB35FE">
            <w:pPr>
              <w:jc w:val="center"/>
              <w:rPr>
                <w:rFonts w:eastAsia="Arial" w:cstheme="minorHAnsi"/>
                <w:b/>
                <w:color w:val="2A2A2A"/>
              </w:rPr>
            </w:pPr>
            <w:r w:rsidRPr="00A403B8">
              <w:rPr>
                <w:rFonts w:eastAsia="Arial" w:cstheme="minorHAnsi"/>
                <w:b/>
                <w:color w:val="2A2A2A"/>
              </w:rPr>
              <w:t>Total number of patients</w:t>
            </w:r>
          </w:p>
        </w:tc>
        <w:tc>
          <w:tcPr>
            <w:tcW w:w="3006" w:type="dxa"/>
            <w:vAlign w:val="center"/>
          </w:tcPr>
          <w:p w14:paraId="43A4854B" w14:textId="77777777" w:rsidR="00DC53A5" w:rsidRPr="00A403B8" w:rsidRDefault="00DC53A5" w:rsidP="00BB35FE">
            <w:pPr>
              <w:jc w:val="center"/>
              <w:rPr>
                <w:rFonts w:eastAsia="Arial" w:cstheme="minorHAnsi"/>
                <w:b/>
                <w:color w:val="2A2A2A"/>
              </w:rPr>
            </w:pPr>
            <w:r w:rsidRPr="00A403B8">
              <w:rPr>
                <w:rFonts w:eastAsia="Arial" w:cstheme="minorHAnsi"/>
                <w:b/>
                <w:color w:val="2A2A2A"/>
              </w:rPr>
              <w:t>Number of patients with previously failed kidney transplant (%)</w:t>
            </w:r>
          </w:p>
        </w:tc>
      </w:tr>
      <w:tr w:rsidR="00DC53A5" w:rsidRPr="00A403B8" w14:paraId="6953FFA3" w14:textId="77777777" w:rsidTr="00BB35FE">
        <w:trPr>
          <w:trHeight w:val="547"/>
        </w:trPr>
        <w:tc>
          <w:tcPr>
            <w:tcW w:w="3005" w:type="dxa"/>
          </w:tcPr>
          <w:p w14:paraId="528C91B1" w14:textId="77777777" w:rsidR="00DC53A5" w:rsidRPr="00A403B8" w:rsidRDefault="00DC53A5" w:rsidP="00BB35FE">
            <w:pPr>
              <w:jc w:val="center"/>
              <w:rPr>
                <w:rFonts w:eastAsia="Arial" w:cstheme="minorHAnsi"/>
                <w:bCs/>
                <w:color w:val="2A2A2A"/>
              </w:rPr>
            </w:pPr>
            <w:r w:rsidRPr="00A403B8">
              <w:rPr>
                <w:rFonts w:eastAsia="Arial" w:cstheme="minorHAnsi"/>
                <w:bCs/>
                <w:color w:val="2A2A2A"/>
              </w:rPr>
              <w:t>Active</w:t>
            </w:r>
          </w:p>
          <w:p w14:paraId="75BE0C50" w14:textId="77777777" w:rsidR="00DC53A5" w:rsidRPr="00A403B8" w:rsidRDefault="00DC53A5" w:rsidP="00BB35FE">
            <w:pPr>
              <w:jc w:val="center"/>
              <w:rPr>
                <w:rFonts w:eastAsia="Arial" w:cstheme="minorHAnsi"/>
                <w:b/>
                <w:color w:val="2A2A2A"/>
              </w:rPr>
            </w:pPr>
            <w:r w:rsidRPr="00A403B8">
              <w:rPr>
                <w:rFonts w:eastAsia="Arial" w:cstheme="minorHAnsi"/>
                <w:bCs/>
                <w:color w:val="2A2A2A"/>
              </w:rPr>
              <w:t>Suspended</w:t>
            </w:r>
          </w:p>
        </w:tc>
        <w:tc>
          <w:tcPr>
            <w:tcW w:w="3005" w:type="dxa"/>
          </w:tcPr>
          <w:p w14:paraId="16EB512D" w14:textId="77777777" w:rsidR="00DC53A5" w:rsidRPr="00A403B8" w:rsidRDefault="00DC53A5" w:rsidP="00BB35FE">
            <w:pPr>
              <w:jc w:val="center"/>
              <w:rPr>
                <w:rFonts w:eastAsia="Arial" w:cstheme="minorHAnsi"/>
                <w:color w:val="2A2A2A"/>
              </w:rPr>
            </w:pPr>
            <w:r w:rsidRPr="00A403B8">
              <w:rPr>
                <w:rFonts w:eastAsia="Arial" w:cstheme="minorHAnsi"/>
                <w:color w:val="2A2A2A"/>
              </w:rPr>
              <w:t>4450</w:t>
            </w:r>
          </w:p>
          <w:p w14:paraId="5C95E56A" w14:textId="77777777" w:rsidR="00DC53A5" w:rsidRPr="00A403B8" w:rsidRDefault="00DC53A5" w:rsidP="00BB35FE">
            <w:pPr>
              <w:jc w:val="center"/>
              <w:rPr>
                <w:rFonts w:eastAsia="Arial" w:cstheme="minorHAnsi"/>
                <w:color w:val="2A2A2A"/>
              </w:rPr>
            </w:pPr>
            <w:r w:rsidRPr="00A403B8">
              <w:rPr>
                <w:rFonts w:eastAsia="Arial" w:cstheme="minorHAnsi"/>
                <w:color w:val="2A2A2A"/>
              </w:rPr>
              <w:t>3502</w:t>
            </w:r>
          </w:p>
        </w:tc>
        <w:tc>
          <w:tcPr>
            <w:tcW w:w="3006" w:type="dxa"/>
          </w:tcPr>
          <w:p w14:paraId="7D8F0AF1" w14:textId="77777777" w:rsidR="00DC53A5" w:rsidRPr="00A403B8" w:rsidRDefault="00DC53A5" w:rsidP="00BB35FE">
            <w:pPr>
              <w:jc w:val="center"/>
              <w:rPr>
                <w:rFonts w:eastAsia="Arial" w:cstheme="minorHAnsi"/>
                <w:color w:val="2A2A2A"/>
              </w:rPr>
            </w:pPr>
            <w:r w:rsidRPr="00A403B8">
              <w:rPr>
                <w:rFonts w:eastAsia="Arial" w:cstheme="minorHAnsi"/>
                <w:color w:val="2A2A2A"/>
              </w:rPr>
              <w:t>712 (16%)</w:t>
            </w:r>
          </w:p>
          <w:p w14:paraId="73A3ADEB" w14:textId="77777777" w:rsidR="00DC53A5" w:rsidRPr="00A403B8" w:rsidRDefault="00DC53A5" w:rsidP="00BB35FE">
            <w:pPr>
              <w:jc w:val="center"/>
              <w:rPr>
                <w:rFonts w:eastAsia="Arial" w:cstheme="minorHAnsi"/>
                <w:color w:val="2A2A2A"/>
              </w:rPr>
            </w:pPr>
            <w:r w:rsidRPr="00A403B8">
              <w:rPr>
                <w:rFonts w:eastAsia="Arial" w:cstheme="minorHAnsi"/>
                <w:color w:val="2A2A2A"/>
              </w:rPr>
              <w:t>583 (17%)</w:t>
            </w:r>
          </w:p>
        </w:tc>
      </w:tr>
    </w:tbl>
    <w:p w14:paraId="56830660" w14:textId="77777777" w:rsidR="00DC53A5" w:rsidRPr="00A403B8" w:rsidRDefault="00DC53A5" w:rsidP="00DC53A5">
      <w:pPr>
        <w:jc w:val="both"/>
        <w:rPr>
          <w:rFonts w:eastAsia="Arial" w:cstheme="minorHAnsi"/>
          <w:b/>
          <w:color w:val="2A2A2A"/>
        </w:rPr>
      </w:pPr>
    </w:p>
    <w:p w14:paraId="7B987BDF" w14:textId="013767CB" w:rsidR="00DC53A5" w:rsidRPr="00A403B8" w:rsidRDefault="00DC53A5" w:rsidP="00A403B8">
      <w:pPr>
        <w:spacing w:line="276" w:lineRule="auto"/>
        <w:jc w:val="both"/>
        <w:rPr>
          <w:rFonts w:eastAsia="Arial" w:cstheme="minorHAnsi"/>
          <w:color w:val="2A2A2A"/>
        </w:rPr>
      </w:pPr>
      <w:r w:rsidRPr="00A403B8">
        <w:rPr>
          <w:rFonts w:eastAsia="Arial" w:cstheme="minorHAnsi"/>
          <w:color w:val="2A2A2A"/>
        </w:rPr>
        <w:t>Table 1</w:t>
      </w:r>
      <w:r w:rsidR="00A403B8">
        <w:rPr>
          <w:rFonts w:eastAsia="Arial" w:cstheme="minorHAnsi"/>
          <w:color w:val="2A2A2A"/>
        </w:rPr>
        <w:t>1</w:t>
      </w:r>
      <w:r w:rsidRPr="00A403B8">
        <w:rPr>
          <w:rFonts w:eastAsia="Arial" w:cstheme="minorHAnsi"/>
          <w:color w:val="2A2A2A"/>
        </w:rPr>
        <w:t xml:space="preserve">.8 shows there is a trend towards a lower proportion of patients with a failed kidney transplant being activated on the waiting list. This may represent increasing numbers of ESKD patients being listed for their first allograft, improved graft survival and </w:t>
      </w:r>
      <w:r w:rsidR="004B39C6">
        <w:rPr>
          <w:rFonts w:eastAsia="Arial" w:cstheme="minorHAnsi"/>
          <w:color w:val="2A2A2A"/>
        </w:rPr>
        <w:t xml:space="preserve">an </w:t>
      </w:r>
      <w:r w:rsidRPr="00A403B8">
        <w:rPr>
          <w:rFonts w:eastAsia="Arial" w:cstheme="minorHAnsi"/>
          <w:color w:val="2A2A2A"/>
        </w:rPr>
        <w:t xml:space="preserve">increase in pre-emptive living donor re-transplants, as these patients may not have been relisted for deceased donation. </w:t>
      </w:r>
    </w:p>
    <w:p w14:paraId="23D5028A" w14:textId="0C49083C" w:rsidR="00DC53A5" w:rsidRPr="00A403B8" w:rsidRDefault="00DC53A5" w:rsidP="00A403B8">
      <w:pPr>
        <w:spacing w:line="276" w:lineRule="auto"/>
        <w:jc w:val="both"/>
        <w:rPr>
          <w:rFonts w:eastAsia="Arial" w:cstheme="minorHAnsi"/>
          <w:color w:val="2A2A2A"/>
        </w:rPr>
      </w:pPr>
      <w:r w:rsidRPr="00A403B8">
        <w:rPr>
          <w:rFonts w:eastAsia="Arial" w:cstheme="minorHAnsi"/>
          <w:b/>
          <w:color w:val="2A2A2A"/>
        </w:rPr>
        <w:t>Table 1</w:t>
      </w:r>
      <w:r w:rsidR="00A403B8">
        <w:rPr>
          <w:rFonts w:eastAsia="Arial" w:cstheme="minorHAnsi"/>
          <w:b/>
          <w:color w:val="2A2A2A"/>
        </w:rPr>
        <w:t>1</w:t>
      </w:r>
      <w:r w:rsidRPr="00A403B8">
        <w:rPr>
          <w:rFonts w:eastAsia="Arial" w:cstheme="minorHAnsi"/>
          <w:b/>
          <w:color w:val="2A2A2A"/>
        </w:rPr>
        <w:t xml:space="preserve">.8 </w:t>
      </w:r>
      <w:r w:rsidRPr="00A403B8">
        <w:rPr>
          <w:rFonts w:eastAsia="Arial" w:cstheme="minorHAnsi"/>
          <w:color w:val="2A2A2A"/>
        </w:rPr>
        <w:t xml:space="preserve">Prevalence of patients with a previously failed graft in patients joining </w:t>
      </w:r>
      <w:r w:rsidR="004B39C6">
        <w:rPr>
          <w:rFonts w:eastAsia="Arial" w:cstheme="minorHAnsi"/>
          <w:color w:val="2A2A2A"/>
        </w:rPr>
        <w:t xml:space="preserve">the </w:t>
      </w:r>
      <w:r w:rsidRPr="00A403B8">
        <w:rPr>
          <w:rFonts w:eastAsia="Arial" w:cstheme="minorHAnsi"/>
          <w:color w:val="2A2A2A"/>
        </w:rPr>
        <w:t>active transplant list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38"/>
        <w:gridCol w:w="2977"/>
        <w:gridCol w:w="4252"/>
      </w:tblGrid>
      <w:tr w:rsidR="00DC53A5" w:rsidRPr="00A403B8" w14:paraId="7DFD4E32" w14:textId="77777777" w:rsidTr="00BB35FE">
        <w:trPr>
          <w:trHeight w:val="518"/>
        </w:trPr>
        <w:tc>
          <w:tcPr>
            <w:tcW w:w="1838" w:type="dxa"/>
            <w:tcBorders>
              <w:bottom w:val="single" w:sz="4" w:space="0" w:color="auto"/>
            </w:tcBorders>
            <w:vAlign w:val="center"/>
          </w:tcPr>
          <w:p w14:paraId="3DCF2A98" w14:textId="77777777" w:rsidR="00DC53A5" w:rsidRPr="00A403B8" w:rsidRDefault="00DC53A5" w:rsidP="00BB35FE">
            <w:pPr>
              <w:jc w:val="center"/>
              <w:rPr>
                <w:rFonts w:eastAsia="Arial" w:cstheme="minorHAnsi"/>
                <w:b/>
                <w:color w:val="2A2A2A"/>
              </w:rPr>
            </w:pPr>
            <w:r w:rsidRPr="00A403B8">
              <w:rPr>
                <w:rFonts w:eastAsia="Arial" w:cstheme="minorHAnsi"/>
                <w:b/>
                <w:color w:val="2A2A2A"/>
              </w:rPr>
              <w:t>Year activated</w:t>
            </w:r>
          </w:p>
        </w:tc>
        <w:tc>
          <w:tcPr>
            <w:tcW w:w="2977" w:type="dxa"/>
            <w:tcBorders>
              <w:bottom w:val="single" w:sz="4" w:space="0" w:color="auto"/>
            </w:tcBorders>
            <w:vAlign w:val="center"/>
          </w:tcPr>
          <w:p w14:paraId="4FA1E77A" w14:textId="77777777" w:rsidR="00DC53A5" w:rsidRPr="00A403B8" w:rsidRDefault="00DC53A5" w:rsidP="00BB35FE">
            <w:pPr>
              <w:jc w:val="center"/>
              <w:rPr>
                <w:rFonts w:eastAsia="Arial" w:cstheme="minorHAnsi"/>
                <w:b/>
                <w:color w:val="2A2A2A"/>
              </w:rPr>
            </w:pPr>
            <w:r w:rsidRPr="00A403B8">
              <w:rPr>
                <w:rFonts w:eastAsia="Arial" w:cstheme="minorHAnsi"/>
                <w:b/>
                <w:color w:val="2A2A2A"/>
              </w:rPr>
              <w:t>Number of patients activated</w:t>
            </w:r>
          </w:p>
        </w:tc>
        <w:tc>
          <w:tcPr>
            <w:tcW w:w="4252" w:type="dxa"/>
            <w:tcBorders>
              <w:bottom w:val="single" w:sz="4" w:space="0" w:color="auto"/>
            </w:tcBorders>
            <w:vAlign w:val="bottom"/>
          </w:tcPr>
          <w:p w14:paraId="113A207E" w14:textId="77777777" w:rsidR="00DC53A5" w:rsidRPr="00A403B8" w:rsidRDefault="00DC53A5" w:rsidP="00BB35FE">
            <w:pPr>
              <w:jc w:val="center"/>
              <w:rPr>
                <w:rFonts w:eastAsia="Arial" w:cstheme="minorHAnsi"/>
                <w:b/>
                <w:color w:val="2A2A2A"/>
              </w:rPr>
            </w:pPr>
            <w:r w:rsidRPr="00A403B8">
              <w:rPr>
                <w:rFonts w:eastAsia="Arial" w:cstheme="minorHAnsi"/>
                <w:b/>
                <w:color w:val="2A2A2A"/>
              </w:rPr>
              <w:t>Number of patients activated with a previously failed kidney transplant (%)</w:t>
            </w:r>
          </w:p>
        </w:tc>
      </w:tr>
      <w:tr w:rsidR="00DC53A5" w:rsidRPr="00A403B8" w14:paraId="135756F2" w14:textId="77777777" w:rsidTr="00BB35FE">
        <w:trPr>
          <w:trHeight w:val="450"/>
        </w:trPr>
        <w:tc>
          <w:tcPr>
            <w:tcW w:w="1838" w:type="dxa"/>
            <w:vMerge w:val="restart"/>
            <w:tcBorders>
              <w:top w:val="single" w:sz="4" w:space="0" w:color="auto"/>
              <w:left w:val="single" w:sz="4" w:space="0" w:color="auto"/>
              <w:bottom w:val="single" w:sz="4" w:space="0" w:color="auto"/>
              <w:right w:val="single" w:sz="4" w:space="0" w:color="auto"/>
            </w:tcBorders>
            <w:vAlign w:val="center"/>
          </w:tcPr>
          <w:p w14:paraId="79ADDEDA" w14:textId="77777777" w:rsidR="00DC53A5" w:rsidRPr="00A403B8" w:rsidRDefault="00DC53A5" w:rsidP="00BB35FE">
            <w:pPr>
              <w:jc w:val="center"/>
              <w:rPr>
                <w:rFonts w:eastAsia="Arial" w:cstheme="minorHAnsi"/>
                <w:bCs/>
                <w:color w:val="2A2A2A"/>
              </w:rPr>
            </w:pPr>
            <w:r w:rsidRPr="00A403B8">
              <w:rPr>
                <w:rFonts w:eastAsia="Arial" w:cstheme="minorHAnsi"/>
                <w:bCs/>
                <w:color w:val="2A2A2A"/>
              </w:rPr>
              <w:t>2016</w:t>
            </w:r>
          </w:p>
          <w:p w14:paraId="1E4B59CB" w14:textId="77777777" w:rsidR="00DC53A5" w:rsidRPr="00A403B8" w:rsidRDefault="00DC53A5" w:rsidP="00BB35FE">
            <w:pPr>
              <w:jc w:val="center"/>
              <w:rPr>
                <w:rFonts w:eastAsia="Arial" w:cstheme="minorHAnsi"/>
                <w:bCs/>
                <w:color w:val="2A2A2A"/>
              </w:rPr>
            </w:pPr>
            <w:r w:rsidRPr="00A403B8">
              <w:rPr>
                <w:rFonts w:eastAsia="Arial" w:cstheme="minorHAnsi"/>
                <w:bCs/>
                <w:color w:val="2A2A2A"/>
              </w:rPr>
              <w:lastRenderedPageBreak/>
              <w:t>2017</w:t>
            </w:r>
          </w:p>
          <w:p w14:paraId="4BC07951" w14:textId="77777777" w:rsidR="00DC53A5" w:rsidRPr="00A403B8" w:rsidRDefault="00DC53A5" w:rsidP="00BB35FE">
            <w:pPr>
              <w:jc w:val="center"/>
              <w:rPr>
                <w:rFonts w:eastAsia="Arial" w:cstheme="minorHAnsi"/>
                <w:bCs/>
                <w:color w:val="2A2A2A"/>
              </w:rPr>
            </w:pPr>
            <w:r w:rsidRPr="00A403B8">
              <w:rPr>
                <w:rFonts w:eastAsia="Arial" w:cstheme="minorHAnsi"/>
                <w:bCs/>
                <w:color w:val="2A2A2A"/>
              </w:rPr>
              <w:t>2018</w:t>
            </w:r>
          </w:p>
          <w:p w14:paraId="31FAF796" w14:textId="77777777" w:rsidR="00DC53A5" w:rsidRPr="00A403B8" w:rsidRDefault="00DC53A5" w:rsidP="00BB35FE">
            <w:pPr>
              <w:jc w:val="center"/>
              <w:rPr>
                <w:rFonts w:eastAsia="Arial" w:cstheme="minorHAnsi"/>
                <w:bCs/>
                <w:color w:val="2A2A2A"/>
              </w:rPr>
            </w:pPr>
            <w:r w:rsidRPr="00A403B8">
              <w:rPr>
                <w:rFonts w:eastAsia="Arial" w:cstheme="minorHAnsi"/>
                <w:bCs/>
                <w:color w:val="2A2A2A"/>
              </w:rPr>
              <w:t>2019</w:t>
            </w:r>
          </w:p>
          <w:p w14:paraId="03F90332" w14:textId="77777777" w:rsidR="00DC53A5" w:rsidRPr="00A403B8" w:rsidRDefault="00DC53A5" w:rsidP="00BB35FE">
            <w:pPr>
              <w:jc w:val="center"/>
              <w:rPr>
                <w:rFonts w:eastAsia="Arial" w:cstheme="minorHAnsi"/>
                <w:b/>
                <w:color w:val="2A2A2A"/>
              </w:rPr>
            </w:pPr>
            <w:r w:rsidRPr="00A403B8">
              <w:rPr>
                <w:rFonts w:eastAsia="Arial" w:cstheme="minorHAnsi"/>
                <w:bCs/>
                <w:color w:val="2A2A2A"/>
              </w:rPr>
              <w:t>2020</w:t>
            </w:r>
          </w:p>
        </w:tc>
        <w:tc>
          <w:tcPr>
            <w:tcW w:w="2977" w:type="dxa"/>
            <w:vMerge w:val="restart"/>
            <w:tcBorders>
              <w:top w:val="single" w:sz="4" w:space="0" w:color="auto"/>
              <w:left w:val="single" w:sz="4" w:space="0" w:color="auto"/>
              <w:bottom w:val="single" w:sz="4" w:space="0" w:color="auto"/>
              <w:right w:val="single" w:sz="4" w:space="0" w:color="auto"/>
            </w:tcBorders>
            <w:vAlign w:val="center"/>
          </w:tcPr>
          <w:p w14:paraId="02FC5681" w14:textId="77777777" w:rsidR="00DC53A5" w:rsidRPr="00A403B8" w:rsidRDefault="00DC53A5" w:rsidP="00BB35FE">
            <w:pPr>
              <w:jc w:val="center"/>
              <w:rPr>
                <w:rFonts w:eastAsia="Arial" w:cstheme="minorHAnsi"/>
                <w:color w:val="2A2A2A"/>
              </w:rPr>
            </w:pPr>
            <w:r w:rsidRPr="00A403B8">
              <w:rPr>
                <w:rFonts w:eastAsia="Arial" w:cstheme="minorHAnsi"/>
                <w:color w:val="2A2A2A"/>
              </w:rPr>
              <w:lastRenderedPageBreak/>
              <w:t>3502</w:t>
            </w:r>
          </w:p>
          <w:p w14:paraId="258F5554" w14:textId="77777777" w:rsidR="00DC53A5" w:rsidRPr="00A403B8" w:rsidRDefault="00DC53A5" w:rsidP="00BB35FE">
            <w:pPr>
              <w:jc w:val="center"/>
              <w:rPr>
                <w:rFonts w:eastAsia="Arial" w:cstheme="minorHAnsi"/>
                <w:color w:val="2A2A2A"/>
              </w:rPr>
            </w:pPr>
            <w:r w:rsidRPr="00A403B8">
              <w:rPr>
                <w:rFonts w:eastAsia="Arial" w:cstheme="minorHAnsi"/>
                <w:color w:val="2A2A2A"/>
              </w:rPr>
              <w:lastRenderedPageBreak/>
              <w:t>3777</w:t>
            </w:r>
          </w:p>
          <w:p w14:paraId="06C92F6B" w14:textId="77777777" w:rsidR="00DC53A5" w:rsidRPr="00A403B8" w:rsidRDefault="00DC53A5" w:rsidP="00BB35FE">
            <w:pPr>
              <w:jc w:val="center"/>
              <w:rPr>
                <w:rFonts w:eastAsia="Arial" w:cstheme="minorHAnsi"/>
                <w:color w:val="2A2A2A"/>
              </w:rPr>
            </w:pPr>
            <w:r w:rsidRPr="00A403B8">
              <w:rPr>
                <w:rFonts w:eastAsia="Arial" w:cstheme="minorHAnsi"/>
                <w:color w:val="2A2A2A"/>
              </w:rPr>
              <w:t>3713</w:t>
            </w:r>
          </w:p>
          <w:p w14:paraId="6F2CD351" w14:textId="77777777" w:rsidR="00DC53A5" w:rsidRPr="00A403B8" w:rsidRDefault="00DC53A5" w:rsidP="00BB35FE">
            <w:pPr>
              <w:jc w:val="center"/>
              <w:rPr>
                <w:rFonts w:eastAsia="Arial" w:cstheme="minorHAnsi"/>
                <w:color w:val="2A2A2A"/>
              </w:rPr>
            </w:pPr>
            <w:r w:rsidRPr="00A403B8">
              <w:rPr>
                <w:rFonts w:eastAsia="Arial" w:cstheme="minorHAnsi"/>
                <w:color w:val="2A2A2A"/>
              </w:rPr>
              <w:t>4080</w:t>
            </w:r>
          </w:p>
          <w:p w14:paraId="25B3B427" w14:textId="77777777" w:rsidR="00DC53A5" w:rsidRPr="00A403B8" w:rsidRDefault="00DC53A5" w:rsidP="00BB35FE">
            <w:pPr>
              <w:jc w:val="center"/>
              <w:rPr>
                <w:rFonts w:eastAsia="Arial" w:cstheme="minorHAnsi"/>
                <w:color w:val="2A2A2A"/>
              </w:rPr>
            </w:pPr>
            <w:r w:rsidRPr="00A403B8">
              <w:rPr>
                <w:rFonts w:eastAsia="Arial" w:cstheme="minorHAnsi"/>
                <w:color w:val="2A2A2A"/>
              </w:rPr>
              <w:t>2934</w:t>
            </w:r>
          </w:p>
        </w:tc>
        <w:tc>
          <w:tcPr>
            <w:tcW w:w="4252" w:type="dxa"/>
            <w:vMerge w:val="restart"/>
            <w:tcBorders>
              <w:top w:val="single" w:sz="4" w:space="0" w:color="auto"/>
              <w:left w:val="single" w:sz="4" w:space="0" w:color="auto"/>
              <w:bottom w:val="single" w:sz="4" w:space="0" w:color="auto"/>
              <w:right w:val="single" w:sz="4" w:space="0" w:color="auto"/>
            </w:tcBorders>
            <w:vAlign w:val="center"/>
          </w:tcPr>
          <w:p w14:paraId="7A12FB08" w14:textId="77777777" w:rsidR="00DC53A5" w:rsidRPr="00A403B8" w:rsidRDefault="00DC53A5" w:rsidP="00BB35FE">
            <w:pPr>
              <w:jc w:val="center"/>
              <w:rPr>
                <w:rFonts w:eastAsia="Arial" w:cstheme="minorHAnsi"/>
                <w:color w:val="2A2A2A"/>
              </w:rPr>
            </w:pPr>
            <w:r w:rsidRPr="00A403B8">
              <w:rPr>
                <w:rFonts w:eastAsia="Arial" w:cstheme="minorHAnsi"/>
                <w:color w:val="2A2A2A"/>
              </w:rPr>
              <w:lastRenderedPageBreak/>
              <w:t>502 (14.3%)</w:t>
            </w:r>
          </w:p>
          <w:p w14:paraId="45354AF5" w14:textId="77777777" w:rsidR="00DC53A5" w:rsidRPr="00A403B8" w:rsidRDefault="00DC53A5" w:rsidP="00BB35FE">
            <w:pPr>
              <w:jc w:val="center"/>
              <w:rPr>
                <w:rFonts w:eastAsia="Arial" w:cstheme="minorHAnsi"/>
                <w:color w:val="2A2A2A"/>
              </w:rPr>
            </w:pPr>
            <w:r w:rsidRPr="00A403B8">
              <w:rPr>
                <w:rFonts w:eastAsia="Arial" w:cstheme="minorHAnsi"/>
                <w:color w:val="2A2A2A"/>
              </w:rPr>
              <w:lastRenderedPageBreak/>
              <w:t>538 (14.2%)</w:t>
            </w:r>
          </w:p>
          <w:p w14:paraId="288965F5" w14:textId="77777777" w:rsidR="00DC53A5" w:rsidRPr="00A403B8" w:rsidRDefault="00DC53A5" w:rsidP="00BB35FE">
            <w:pPr>
              <w:jc w:val="center"/>
              <w:rPr>
                <w:rFonts w:eastAsia="Arial" w:cstheme="minorHAnsi"/>
                <w:color w:val="2A2A2A"/>
              </w:rPr>
            </w:pPr>
            <w:r w:rsidRPr="00A403B8">
              <w:rPr>
                <w:rFonts w:eastAsia="Arial" w:cstheme="minorHAnsi"/>
                <w:color w:val="2A2A2A"/>
              </w:rPr>
              <w:t>499 (13.4%)</w:t>
            </w:r>
          </w:p>
          <w:p w14:paraId="3A193063" w14:textId="77777777" w:rsidR="00DC53A5" w:rsidRPr="00A403B8" w:rsidRDefault="00DC53A5" w:rsidP="00BB35FE">
            <w:pPr>
              <w:jc w:val="center"/>
              <w:rPr>
                <w:rFonts w:eastAsia="Arial" w:cstheme="minorHAnsi"/>
                <w:color w:val="2A2A2A"/>
              </w:rPr>
            </w:pPr>
            <w:r w:rsidRPr="00A403B8">
              <w:rPr>
                <w:rFonts w:eastAsia="Arial" w:cstheme="minorHAnsi"/>
                <w:color w:val="2A2A2A"/>
              </w:rPr>
              <w:t>493 (12.1%)</w:t>
            </w:r>
          </w:p>
          <w:p w14:paraId="73620B45" w14:textId="77777777" w:rsidR="00DC53A5" w:rsidRPr="00A403B8" w:rsidRDefault="00DC53A5" w:rsidP="00BB35FE">
            <w:pPr>
              <w:jc w:val="center"/>
              <w:rPr>
                <w:rFonts w:eastAsia="Arial" w:cstheme="minorHAnsi"/>
                <w:color w:val="2A2A2A"/>
              </w:rPr>
            </w:pPr>
            <w:r w:rsidRPr="00A403B8">
              <w:rPr>
                <w:rFonts w:eastAsia="Arial" w:cstheme="minorHAnsi"/>
                <w:color w:val="2A2A2A"/>
              </w:rPr>
              <w:t>325 (11.1%)</w:t>
            </w:r>
          </w:p>
        </w:tc>
      </w:tr>
      <w:tr w:rsidR="00DC53A5" w:rsidRPr="00A403B8" w14:paraId="2D1F125A" w14:textId="77777777" w:rsidTr="00BB35FE">
        <w:trPr>
          <w:trHeight w:val="1269"/>
        </w:trPr>
        <w:tc>
          <w:tcPr>
            <w:tcW w:w="1838" w:type="dxa"/>
            <w:vMerge/>
            <w:tcBorders>
              <w:top w:val="single" w:sz="4" w:space="0" w:color="auto"/>
              <w:left w:val="single" w:sz="4" w:space="0" w:color="auto"/>
              <w:bottom w:val="single" w:sz="4" w:space="0" w:color="auto"/>
              <w:right w:val="single" w:sz="4" w:space="0" w:color="auto"/>
            </w:tcBorders>
          </w:tcPr>
          <w:p w14:paraId="18AF4594" w14:textId="77777777" w:rsidR="00DC53A5" w:rsidRPr="00A403B8" w:rsidRDefault="00DC53A5" w:rsidP="00BB35FE">
            <w:pPr>
              <w:jc w:val="center"/>
              <w:rPr>
                <w:rFonts w:eastAsia="Arial" w:cstheme="minorHAnsi"/>
                <w:b/>
                <w:color w:val="2A2A2A"/>
              </w:rPr>
            </w:pPr>
          </w:p>
        </w:tc>
        <w:tc>
          <w:tcPr>
            <w:tcW w:w="2977" w:type="dxa"/>
            <w:vMerge/>
            <w:tcBorders>
              <w:top w:val="single" w:sz="4" w:space="0" w:color="auto"/>
              <w:left w:val="single" w:sz="4" w:space="0" w:color="auto"/>
              <w:bottom w:val="single" w:sz="4" w:space="0" w:color="auto"/>
              <w:right w:val="single" w:sz="4" w:space="0" w:color="auto"/>
            </w:tcBorders>
            <w:vAlign w:val="bottom"/>
          </w:tcPr>
          <w:p w14:paraId="170CF312" w14:textId="77777777" w:rsidR="00DC53A5" w:rsidRPr="00A403B8" w:rsidRDefault="00DC53A5" w:rsidP="00BB35FE">
            <w:pPr>
              <w:jc w:val="center"/>
              <w:rPr>
                <w:rFonts w:eastAsia="Arial" w:cstheme="minorHAnsi"/>
                <w:color w:val="2A2A2A"/>
              </w:rPr>
            </w:pPr>
          </w:p>
        </w:tc>
        <w:tc>
          <w:tcPr>
            <w:tcW w:w="4252" w:type="dxa"/>
            <w:vMerge/>
            <w:tcBorders>
              <w:top w:val="single" w:sz="4" w:space="0" w:color="auto"/>
              <w:left w:val="single" w:sz="4" w:space="0" w:color="auto"/>
              <w:bottom w:val="single" w:sz="4" w:space="0" w:color="auto"/>
              <w:right w:val="single" w:sz="4" w:space="0" w:color="auto"/>
            </w:tcBorders>
            <w:vAlign w:val="bottom"/>
          </w:tcPr>
          <w:p w14:paraId="66D5A4C5" w14:textId="77777777" w:rsidR="00DC53A5" w:rsidRPr="00A403B8" w:rsidRDefault="00DC53A5" w:rsidP="00BB35FE">
            <w:pPr>
              <w:jc w:val="center"/>
              <w:rPr>
                <w:rFonts w:eastAsia="Arial" w:cstheme="minorHAnsi"/>
                <w:color w:val="2A2A2A"/>
              </w:rPr>
            </w:pPr>
          </w:p>
        </w:tc>
      </w:tr>
    </w:tbl>
    <w:p w14:paraId="1C0FD90B" w14:textId="77777777" w:rsidR="00DC53A5" w:rsidRPr="00A403B8" w:rsidRDefault="00DC53A5" w:rsidP="00DC53A5">
      <w:pPr>
        <w:jc w:val="both"/>
        <w:rPr>
          <w:rFonts w:eastAsia="Arial" w:cstheme="minorHAnsi"/>
          <w:color w:val="2A2A2A"/>
        </w:rPr>
      </w:pPr>
    </w:p>
    <w:p w14:paraId="27064660" w14:textId="40473DA7" w:rsidR="00DC53A5" w:rsidRPr="00A403B8" w:rsidRDefault="00DC53A5" w:rsidP="00A403B8">
      <w:pPr>
        <w:spacing w:line="276" w:lineRule="auto"/>
        <w:jc w:val="both"/>
        <w:rPr>
          <w:rFonts w:eastAsia="Arial" w:cstheme="minorHAnsi"/>
          <w:color w:val="2A2A2A"/>
        </w:rPr>
      </w:pPr>
      <w:r w:rsidRPr="00A403B8">
        <w:rPr>
          <w:rFonts w:eastAsia="Arial" w:cstheme="minorHAnsi"/>
          <w:color w:val="2A2A2A"/>
        </w:rPr>
        <w:t xml:space="preserve">It is important to recognise that </w:t>
      </w:r>
      <w:r w:rsidR="004B39C6">
        <w:rPr>
          <w:rFonts w:eastAsia="Arial" w:cstheme="minorHAnsi"/>
          <w:color w:val="2A2A2A"/>
        </w:rPr>
        <w:t>patients</w:t>
      </w:r>
      <w:r w:rsidRPr="00A403B8">
        <w:rPr>
          <w:rFonts w:eastAsia="Arial" w:cstheme="minorHAnsi"/>
          <w:color w:val="2A2A2A"/>
        </w:rPr>
        <w:t xml:space="preserve"> that are suitable to be relisted, wait longer than those without </w:t>
      </w:r>
      <w:r w:rsidR="004B39C6">
        <w:rPr>
          <w:rFonts w:eastAsia="Arial" w:cstheme="minorHAnsi"/>
          <w:color w:val="2A2A2A"/>
        </w:rPr>
        <w:t xml:space="preserve">a </w:t>
      </w:r>
      <w:r w:rsidRPr="00A403B8">
        <w:rPr>
          <w:rFonts w:eastAsia="Arial" w:cstheme="minorHAnsi"/>
          <w:color w:val="2A2A2A"/>
        </w:rPr>
        <w:t>previous transplant. For patients activated on the deceased donor transplant list between 2010 and 2016, the median time to a deceased donor transplant is shown in Table 1</w:t>
      </w:r>
      <w:r w:rsidR="00A403B8">
        <w:rPr>
          <w:rFonts w:eastAsia="Arial" w:cstheme="minorHAnsi"/>
          <w:color w:val="2A2A2A"/>
        </w:rPr>
        <w:t>1</w:t>
      </w:r>
      <w:r w:rsidRPr="00A403B8">
        <w:rPr>
          <w:rFonts w:eastAsia="Arial" w:cstheme="minorHAnsi"/>
          <w:color w:val="2A2A2A"/>
        </w:rPr>
        <w:t>.9. Of note</w:t>
      </w:r>
      <w:r w:rsidR="004B39C6">
        <w:rPr>
          <w:rFonts w:eastAsia="Arial" w:cstheme="minorHAnsi"/>
          <w:color w:val="2A2A2A"/>
        </w:rPr>
        <w:t>,</w:t>
      </w:r>
      <w:r w:rsidRPr="00A403B8">
        <w:rPr>
          <w:rFonts w:eastAsia="Arial" w:cstheme="minorHAnsi"/>
          <w:color w:val="2A2A2A"/>
        </w:rPr>
        <w:t xml:space="preserve"> this does not include those patients who received a living donor transplant, since there is mixed practice in terms of activating patients prior to </w:t>
      </w:r>
      <w:r w:rsidR="004B39C6">
        <w:rPr>
          <w:rFonts w:eastAsia="Arial" w:cstheme="minorHAnsi"/>
          <w:color w:val="2A2A2A"/>
        </w:rPr>
        <w:t xml:space="preserve">a </w:t>
      </w:r>
      <w:r w:rsidRPr="00A403B8">
        <w:rPr>
          <w:rFonts w:eastAsia="Arial" w:cstheme="minorHAnsi"/>
          <w:color w:val="2A2A2A"/>
        </w:rPr>
        <w:t xml:space="preserve">living donor transplant. This longer waiting time may in part be accounted for if the previous transplant was from the </w:t>
      </w:r>
      <w:r w:rsidR="004B39C6">
        <w:rPr>
          <w:rFonts w:eastAsia="Arial" w:cstheme="minorHAnsi"/>
          <w:color w:val="2A2A2A"/>
        </w:rPr>
        <w:t>best-matched</w:t>
      </w:r>
      <w:r w:rsidRPr="00A403B8">
        <w:rPr>
          <w:rFonts w:eastAsia="Arial" w:cstheme="minorHAnsi"/>
          <w:color w:val="2A2A2A"/>
        </w:rPr>
        <w:t xml:space="preserve"> living donor and now that is no longer an option.</w:t>
      </w:r>
    </w:p>
    <w:p w14:paraId="36C6A060" w14:textId="3956AF15" w:rsidR="00DC53A5" w:rsidRPr="00A403B8" w:rsidRDefault="00DC53A5" w:rsidP="00A403B8">
      <w:pPr>
        <w:spacing w:line="276" w:lineRule="auto"/>
        <w:jc w:val="both"/>
        <w:rPr>
          <w:rFonts w:eastAsia="Arial" w:cstheme="minorHAnsi"/>
          <w:b/>
          <w:color w:val="2A2A2A"/>
        </w:rPr>
      </w:pPr>
      <w:r w:rsidRPr="00A403B8">
        <w:rPr>
          <w:rFonts w:eastAsia="Arial" w:cstheme="minorHAnsi"/>
          <w:b/>
          <w:color w:val="2A2A2A"/>
        </w:rPr>
        <w:t>Table 1</w:t>
      </w:r>
      <w:r w:rsidR="00A403B8">
        <w:rPr>
          <w:rFonts w:eastAsia="Arial" w:cstheme="minorHAnsi"/>
          <w:b/>
          <w:color w:val="2A2A2A"/>
        </w:rPr>
        <w:t>1</w:t>
      </w:r>
      <w:r w:rsidRPr="00A403B8">
        <w:rPr>
          <w:rFonts w:eastAsia="Arial" w:cstheme="minorHAnsi"/>
          <w:b/>
          <w:color w:val="2A2A2A"/>
        </w:rPr>
        <w:t xml:space="preserve">.9 </w:t>
      </w:r>
      <w:r w:rsidRPr="00A403B8">
        <w:rPr>
          <w:rFonts w:eastAsia="Arial" w:cstheme="minorHAnsi"/>
          <w:color w:val="2A2A2A"/>
        </w:rPr>
        <w:t xml:space="preserve">Median time (days) to deceased donor transplant for patients spent active on the waiting list 1/1/10 – 31/12/16 from first activation date. </w:t>
      </w:r>
    </w:p>
    <w:tbl>
      <w:tblPr>
        <w:tblW w:w="90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3539"/>
        <w:gridCol w:w="969"/>
        <w:gridCol w:w="2254"/>
        <w:gridCol w:w="2254"/>
      </w:tblGrid>
      <w:tr w:rsidR="00DC53A5" w:rsidRPr="00A403B8" w14:paraId="5F2EBD39" w14:textId="77777777" w:rsidTr="00BB35FE">
        <w:tc>
          <w:tcPr>
            <w:tcW w:w="3539" w:type="dxa"/>
          </w:tcPr>
          <w:p w14:paraId="7D0351FF" w14:textId="77777777" w:rsidR="00DC53A5" w:rsidRPr="00A403B8" w:rsidRDefault="00DC53A5" w:rsidP="00BB35FE">
            <w:pPr>
              <w:jc w:val="center"/>
              <w:rPr>
                <w:rFonts w:eastAsia="Arial" w:cstheme="minorHAnsi"/>
                <w:b/>
                <w:color w:val="2A2A2A"/>
              </w:rPr>
            </w:pPr>
          </w:p>
        </w:tc>
        <w:tc>
          <w:tcPr>
            <w:tcW w:w="969" w:type="dxa"/>
          </w:tcPr>
          <w:p w14:paraId="036D9CA6" w14:textId="77777777" w:rsidR="00DC53A5" w:rsidRPr="00A403B8" w:rsidRDefault="00DC53A5" w:rsidP="00BB35FE">
            <w:pPr>
              <w:jc w:val="center"/>
              <w:rPr>
                <w:rFonts w:eastAsia="Arial" w:cstheme="minorHAnsi"/>
                <w:b/>
                <w:color w:val="2A2A2A"/>
              </w:rPr>
            </w:pPr>
            <w:r w:rsidRPr="00A403B8">
              <w:rPr>
                <w:rFonts w:eastAsia="Arial" w:cstheme="minorHAnsi"/>
                <w:b/>
                <w:color w:val="2A2A2A"/>
              </w:rPr>
              <w:t>N</w:t>
            </w:r>
          </w:p>
        </w:tc>
        <w:tc>
          <w:tcPr>
            <w:tcW w:w="2254" w:type="dxa"/>
          </w:tcPr>
          <w:p w14:paraId="1F1F4D45" w14:textId="77777777" w:rsidR="00DC53A5" w:rsidRPr="00A403B8" w:rsidRDefault="00DC53A5" w:rsidP="00BB35FE">
            <w:pPr>
              <w:jc w:val="center"/>
              <w:rPr>
                <w:rFonts w:eastAsia="Arial" w:cstheme="minorHAnsi"/>
                <w:b/>
                <w:color w:val="2A2A2A"/>
              </w:rPr>
            </w:pPr>
            <w:r w:rsidRPr="00A403B8">
              <w:rPr>
                <w:rFonts w:eastAsia="Arial" w:cstheme="minorHAnsi"/>
                <w:b/>
                <w:color w:val="2A2A2A"/>
              </w:rPr>
              <w:t>Median</w:t>
            </w:r>
          </w:p>
        </w:tc>
        <w:tc>
          <w:tcPr>
            <w:tcW w:w="2254" w:type="dxa"/>
          </w:tcPr>
          <w:p w14:paraId="0EE4160E" w14:textId="77777777" w:rsidR="00DC53A5" w:rsidRPr="00A403B8" w:rsidRDefault="00DC53A5" w:rsidP="00BB35FE">
            <w:pPr>
              <w:jc w:val="center"/>
              <w:rPr>
                <w:rFonts w:eastAsia="Arial" w:cstheme="minorHAnsi"/>
                <w:b/>
                <w:color w:val="2A2A2A"/>
              </w:rPr>
            </w:pPr>
            <w:r w:rsidRPr="00A403B8">
              <w:rPr>
                <w:rFonts w:eastAsia="Arial" w:cstheme="minorHAnsi"/>
                <w:b/>
                <w:color w:val="2A2A2A"/>
              </w:rPr>
              <w:t>95% CI</w:t>
            </w:r>
          </w:p>
        </w:tc>
      </w:tr>
      <w:tr w:rsidR="00DC53A5" w:rsidRPr="00A403B8" w14:paraId="3F34B6F9" w14:textId="77777777" w:rsidTr="00BB35FE">
        <w:tc>
          <w:tcPr>
            <w:tcW w:w="3539" w:type="dxa"/>
          </w:tcPr>
          <w:p w14:paraId="1F1E1F02" w14:textId="77777777" w:rsidR="00DC53A5" w:rsidRPr="00A403B8" w:rsidRDefault="00DC53A5" w:rsidP="00BB35FE">
            <w:pPr>
              <w:jc w:val="center"/>
              <w:rPr>
                <w:rFonts w:eastAsia="Arial" w:cstheme="minorHAnsi"/>
                <w:bCs/>
                <w:color w:val="2A2A2A"/>
              </w:rPr>
            </w:pPr>
            <w:r w:rsidRPr="00A403B8">
              <w:rPr>
                <w:rFonts w:eastAsia="Arial" w:cstheme="minorHAnsi"/>
                <w:bCs/>
                <w:color w:val="2A2A2A"/>
              </w:rPr>
              <w:t>No previous transplant</w:t>
            </w:r>
          </w:p>
        </w:tc>
        <w:tc>
          <w:tcPr>
            <w:tcW w:w="969" w:type="dxa"/>
          </w:tcPr>
          <w:p w14:paraId="61984766" w14:textId="77777777" w:rsidR="00DC53A5" w:rsidRPr="00A403B8" w:rsidRDefault="00DC53A5" w:rsidP="00BB35FE">
            <w:pPr>
              <w:jc w:val="center"/>
              <w:rPr>
                <w:rFonts w:eastAsia="Arial" w:cstheme="minorHAnsi"/>
                <w:color w:val="2A2A2A"/>
              </w:rPr>
            </w:pPr>
            <w:r w:rsidRPr="00A403B8">
              <w:rPr>
                <w:rFonts w:eastAsia="Arial" w:cstheme="minorHAnsi"/>
                <w:color w:val="2A2A2A"/>
              </w:rPr>
              <w:t>14596</w:t>
            </w:r>
          </w:p>
        </w:tc>
        <w:tc>
          <w:tcPr>
            <w:tcW w:w="2254" w:type="dxa"/>
          </w:tcPr>
          <w:p w14:paraId="29F7EC52" w14:textId="77777777" w:rsidR="00DC53A5" w:rsidRPr="00A403B8" w:rsidRDefault="00DC53A5" w:rsidP="00BB35FE">
            <w:pPr>
              <w:jc w:val="center"/>
              <w:rPr>
                <w:rFonts w:eastAsia="Arial" w:cstheme="minorHAnsi"/>
                <w:color w:val="2A2A2A"/>
              </w:rPr>
            </w:pPr>
            <w:r w:rsidRPr="00A403B8">
              <w:rPr>
                <w:rFonts w:eastAsia="Arial" w:cstheme="minorHAnsi"/>
                <w:color w:val="2A2A2A"/>
              </w:rPr>
              <w:t>646</w:t>
            </w:r>
          </w:p>
        </w:tc>
        <w:tc>
          <w:tcPr>
            <w:tcW w:w="2254" w:type="dxa"/>
          </w:tcPr>
          <w:p w14:paraId="2731DE95" w14:textId="77777777" w:rsidR="00DC53A5" w:rsidRPr="00A403B8" w:rsidRDefault="00DC53A5" w:rsidP="00BB35FE">
            <w:pPr>
              <w:jc w:val="center"/>
              <w:rPr>
                <w:rFonts w:eastAsia="Arial" w:cstheme="minorHAnsi"/>
                <w:color w:val="2A2A2A"/>
              </w:rPr>
            </w:pPr>
            <w:r w:rsidRPr="00A403B8">
              <w:rPr>
                <w:rFonts w:eastAsia="Arial" w:cstheme="minorHAnsi"/>
                <w:color w:val="2A2A2A"/>
              </w:rPr>
              <w:t>(634-658)</w:t>
            </w:r>
          </w:p>
        </w:tc>
      </w:tr>
      <w:tr w:rsidR="00DC53A5" w:rsidRPr="00A403B8" w14:paraId="44E72CCE" w14:textId="77777777" w:rsidTr="00BB35FE">
        <w:tc>
          <w:tcPr>
            <w:tcW w:w="3539" w:type="dxa"/>
          </w:tcPr>
          <w:p w14:paraId="645C34D0" w14:textId="77777777" w:rsidR="00DC53A5" w:rsidRPr="00A403B8" w:rsidRDefault="00DC53A5" w:rsidP="00BB35FE">
            <w:pPr>
              <w:jc w:val="center"/>
              <w:rPr>
                <w:rFonts w:eastAsia="Arial" w:cstheme="minorHAnsi"/>
                <w:bCs/>
                <w:color w:val="2A2A2A"/>
              </w:rPr>
            </w:pPr>
            <w:r w:rsidRPr="00A403B8">
              <w:rPr>
                <w:rFonts w:eastAsia="Arial Unicode MS" w:cstheme="minorHAnsi"/>
                <w:bCs/>
                <w:color w:val="2A2A2A"/>
              </w:rPr>
              <w:t>Previous transplant (</w:t>
            </w:r>
            <w:r w:rsidRPr="00A403B8">
              <w:rPr>
                <w:rFonts w:ascii="Cambria Math" w:eastAsia="Arial Unicode MS" w:hAnsi="Cambria Math" w:cs="Cambria Math"/>
                <w:bCs/>
                <w:color w:val="2A2A2A"/>
              </w:rPr>
              <w:t>≧</w:t>
            </w:r>
            <w:r w:rsidRPr="00A403B8">
              <w:rPr>
                <w:rFonts w:eastAsia="Arial Unicode MS" w:cstheme="minorHAnsi"/>
                <w:bCs/>
                <w:color w:val="2A2A2A"/>
              </w:rPr>
              <w:t>1)</w:t>
            </w:r>
          </w:p>
        </w:tc>
        <w:tc>
          <w:tcPr>
            <w:tcW w:w="969" w:type="dxa"/>
          </w:tcPr>
          <w:p w14:paraId="4062FEE8" w14:textId="77777777" w:rsidR="00DC53A5" w:rsidRPr="00A403B8" w:rsidRDefault="00DC53A5" w:rsidP="00BB35FE">
            <w:pPr>
              <w:jc w:val="center"/>
              <w:rPr>
                <w:rFonts w:eastAsia="Arial" w:cstheme="minorHAnsi"/>
                <w:color w:val="2A2A2A"/>
              </w:rPr>
            </w:pPr>
            <w:r w:rsidRPr="00A403B8">
              <w:rPr>
                <w:rFonts w:eastAsia="Arial" w:cstheme="minorHAnsi"/>
                <w:color w:val="2A2A2A"/>
              </w:rPr>
              <w:t>2572</w:t>
            </w:r>
          </w:p>
        </w:tc>
        <w:tc>
          <w:tcPr>
            <w:tcW w:w="2254" w:type="dxa"/>
          </w:tcPr>
          <w:p w14:paraId="30D9E0F9" w14:textId="77777777" w:rsidR="00DC53A5" w:rsidRPr="00A403B8" w:rsidRDefault="00DC53A5" w:rsidP="00BB35FE">
            <w:pPr>
              <w:jc w:val="center"/>
              <w:rPr>
                <w:rFonts w:eastAsia="Arial" w:cstheme="minorHAnsi"/>
                <w:color w:val="2A2A2A"/>
              </w:rPr>
            </w:pPr>
            <w:r w:rsidRPr="00A403B8">
              <w:rPr>
                <w:rFonts w:eastAsia="Arial" w:cstheme="minorHAnsi"/>
                <w:color w:val="2A2A2A"/>
              </w:rPr>
              <w:t>1047</w:t>
            </w:r>
          </w:p>
        </w:tc>
        <w:tc>
          <w:tcPr>
            <w:tcW w:w="2254" w:type="dxa"/>
          </w:tcPr>
          <w:p w14:paraId="3198905E" w14:textId="77777777" w:rsidR="00DC53A5" w:rsidRPr="00A403B8" w:rsidRDefault="00DC53A5" w:rsidP="00BB35FE">
            <w:pPr>
              <w:jc w:val="center"/>
              <w:rPr>
                <w:rFonts w:eastAsia="Arial" w:cstheme="minorHAnsi"/>
                <w:color w:val="2A2A2A"/>
              </w:rPr>
            </w:pPr>
            <w:r w:rsidRPr="00A403B8">
              <w:rPr>
                <w:rFonts w:eastAsia="Arial" w:cstheme="minorHAnsi"/>
                <w:color w:val="2A2A2A"/>
              </w:rPr>
              <w:t>(998-1096)</w:t>
            </w:r>
          </w:p>
        </w:tc>
      </w:tr>
    </w:tbl>
    <w:p w14:paraId="73AEBFB0" w14:textId="77777777" w:rsidR="00DC53A5" w:rsidRPr="00A403B8" w:rsidRDefault="00DC53A5" w:rsidP="00DC53A5">
      <w:pPr>
        <w:jc w:val="both"/>
        <w:rPr>
          <w:rFonts w:eastAsia="Arial" w:cstheme="minorHAnsi"/>
          <w:color w:val="2A2A2A"/>
        </w:rPr>
      </w:pPr>
    </w:p>
    <w:p w14:paraId="11FCAF83" w14:textId="2BAA1FEC" w:rsidR="00DC53A5" w:rsidRPr="00A403B8" w:rsidRDefault="00DC53A5" w:rsidP="00A403B8">
      <w:pPr>
        <w:spacing w:line="276" w:lineRule="auto"/>
        <w:jc w:val="both"/>
        <w:rPr>
          <w:rFonts w:eastAsia="Arial" w:cstheme="minorHAnsi"/>
          <w:b/>
          <w:color w:val="2A2A2A"/>
        </w:rPr>
      </w:pPr>
      <w:r w:rsidRPr="00A403B8">
        <w:rPr>
          <w:rFonts w:eastAsia="Arial" w:cstheme="minorHAnsi"/>
          <w:color w:val="2A2A2A"/>
        </w:rPr>
        <w:t>This variation is not evident in the latest USRDS data from 2011 where the median waiting time was 1461 vs 1551 days for first versus subsequent kidney</w:t>
      </w:r>
      <w:r w:rsidR="004B39C6">
        <w:rPr>
          <w:rFonts w:eastAsia="Arial" w:cstheme="minorHAnsi"/>
          <w:color w:val="2A2A2A"/>
        </w:rPr>
        <w:t>-</w:t>
      </w:r>
      <w:r w:rsidRPr="00A403B8">
        <w:rPr>
          <w:rFonts w:eastAsia="Arial" w:cstheme="minorHAnsi"/>
          <w:color w:val="2A2A2A"/>
        </w:rPr>
        <w:t>only transplant</w:t>
      </w:r>
      <w:r w:rsidRPr="00A403B8">
        <w:rPr>
          <w:rFonts w:eastAsia="Arial" w:cstheme="minorHAnsi"/>
          <w:color w:val="2A2A2A"/>
          <w:vertAlign w:val="superscript"/>
        </w:rPr>
        <w:t>10</w:t>
      </w:r>
      <w:r w:rsidRPr="00A403B8">
        <w:rPr>
          <w:rFonts w:eastAsia="Arial" w:cstheme="minorHAnsi"/>
          <w:color w:val="2A2A2A"/>
        </w:rPr>
        <w:t>.</w:t>
      </w:r>
    </w:p>
    <w:p w14:paraId="25E5EFB6" w14:textId="294F6BB4" w:rsidR="00DC53A5" w:rsidRPr="00A403B8" w:rsidRDefault="00DC53A5" w:rsidP="00A403B8">
      <w:pPr>
        <w:spacing w:line="276" w:lineRule="auto"/>
        <w:jc w:val="both"/>
        <w:rPr>
          <w:rFonts w:eastAsia="Arial" w:cstheme="minorHAnsi"/>
          <w:color w:val="2A2A2A"/>
        </w:rPr>
      </w:pPr>
      <w:r w:rsidRPr="00A403B8">
        <w:rPr>
          <w:rFonts w:eastAsia="Arial" w:cstheme="minorHAnsi"/>
          <w:color w:val="2A2A2A"/>
        </w:rPr>
        <w:t>Table 1</w:t>
      </w:r>
      <w:r w:rsidR="00A403B8">
        <w:rPr>
          <w:rFonts w:eastAsia="Arial" w:cstheme="minorHAnsi"/>
          <w:color w:val="2A2A2A"/>
        </w:rPr>
        <w:t>1</w:t>
      </w:r>
      <w:r w:rsidRPr="00A403B8">
        <w:rPr>
          <w:rFonts w:eastAsia="Arial" w:cstheme="minorHAnsi"/>
          <w:color w:val="2A2A2A"/>
        </w:rPr>
        <w:t xml:space="preserve">.10 indicates the pre-emptive transplantation rates for DD vs LD for first compared to second transplants. For both DD and LD, fewer second transplants were performed pre-emptively. Several factors may contribute to this. Recipients being considered for re-transplantation may be more medically complex and require a more detailed assessment process, which may not be complete before they start dialysis. Sensitisation may be a consideration, and a second living donor may not be available. </w:t>
      </w:r>
    </w:p>
    <w:p w14:paraId="0129D8A9" w14:textId="13B38E5B" w:rsidR="00DC53A5" w:rsidRPr="00A403B8" w:rsidRDefault="00DC53A5" w:rsidP="00A403B8">
      <w:pPr>
        <w:spacing w:line="276" w:lineRule="auto"/>
        <w:jc w:val="both"/>
        <w:rPr>
          <w:rFonts w:eastAsia="Arial" w:cstheme="minorHAnsi"/>
          <w:color w:val="2A2A2A"/>
        </w:rPr>
      </w:pPr>
      <w:r w:rsidRPr="00A403B8">
        <w:rPr>
          <w:rFonts w:eastAsia="Arial" w:cstheme="minorHAnsi"/>
          <w:b/>
          <w:color w:val="2A2A2A"/>
        </w:rPr>
        <w:t>Table 1</w:t>
      </w:r>
      <w:r w:rsidR="00A403B8">
        <w:rPr>
          <w:rFonts w:eastAsia="Arial" w:cstheme="minorHAnsi"/>
          <w:b/>
          <w:color w:val="2A2A2A"/>
        </w:rPr>
        <w:t>1</w:t>
      </w:r>
      <w:r w:rsidRPr="00A403B8">
        <w:rPr>
          <w:rFonts w:eastAsia="Arial" w:cstheme="minorHAnsi"/>
          <w:b/>
          <w:color w:val="2A2A2A"/>
        </w:rPr>
        <w:t xml:space="preserve">.10 </w:t>
      </w:r>
      <w:r w:rsidRPr="00A403B8">
        <w:rPr>
          <w:rFonts w:eastAsia="Arial" w:cstheme="minorHAnsi"/>
          <w:color w:val="2A2A2A"/>
        </w:rPr>
        <w:t xml:space="preserve">Proportion of patients on dialysis at </w:t>
      </w:r>
      <w:r w:rsidR="004B39C6">
        <w:rPr>
          <w:rFonts w:eastAsia="Arial" w:cstheme="minorHAnsi"/>
          <w:color w:val="2A2A2A"/>
        </w:rPr>
        <w:t xml:space="preserve">the </w:t>
      </w:r>
      <w:r w:rsidRPr="00A403B8">
        <w:rPr>
          <w:rFonts w:eastAsia="Arial" w:cstheme="minorHAnsi"/>
          <w:color w:val="2A2A2A"/>
        </w:rPr>
        <w:t>time of transplant, 1/1/16 – 31/12/20</w:t>
      </w:r>
    </w:p>
    <w:tbl>
      <w:tblPr>
        <w:tblW w:w="9345"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775"/>
        <w:gridCol w:w="1005"/>
        <w:gridCol w:w="1125"/>
        <w:gridCol w:w="1275"/>
        <w:gridCol w:w="1125"/>
        <w:gridCol w:w="2040"/>
      </w:tblGrid>
      <w:tr w:rsidR="00DC53A5" w:rsidRPr="00A403B8" w14:paraId="277D55F4" w14:textId="77777777" w:rsidTr="00BB35FE">
        <w:tc>
          <w:tcPr>
            <w:tcW w:w="2775" w:type="dxa"/>
          </w:tcPr>
          <w:p w14:paraId="3D698012" w14:textId="77777777" w:rsidR="00DC53A5" w:rsidRPr="00A403B8" w:rsidRDefault="00DC53A5" w:rsidP="00BB35FE">
            <w:pPr>
              <w:jc w:val="both"/>
              <w:rPr>
                <w:rFonts w:cstheme="minorHAnsi"/>
                <w:color w:val="2A2A2A"/>
              </w:rPr>
            </w:pPr>
          </w:p>
        </w:tc>
        <w:tc>
          <w:tcPr>
            <w:tcW w:w="1005" w:type="dxa"/>
          </w:tcPr>
          <w:p w14:paraId="1363009E" w14:textId="77777777" w:rsidR="00DC53A5" w:rsidRPr="00A403B8" w:rsidRDefault="00DC53A5" w:rsidP="00BB35FE">
            <w:pPr>
              <w:jc w:val="center"/>
              <w:rPr>
                <w:rFonts w:cstheme="minorHAnsi"/>
                <w:b/>
                <w:color w:val="2A2A2A"/>
              </w:rPr>
            </w:pPr>
            <w:r w:rsidRPr="00A403B8">
              <w:rPr>
                <w:rFonts w:cstheme="minorHAnsi"/>
                <w:b/>
                <w:color w:val="2A2A2A"/>
              </w:rPr>
              <w:t>N on dialysis</w:t>
            </w:r>
          </w:p>
        </w:tc>
        <w:tc>
          <w:tcPr>
            <w:tcW w:w="1125" w:type="dxa"/>
          </w:tcPr>
          <w:p w14:paraId="581B76AD" w14:textId="77777777" w:rsidR="00DC53A5" w:rsidRPr="00A403B8" w:rsidRDefault="00DC53A5" w:rsidP="00BB35FE">
            <w:pPr>
              <w:jc w:val="center"/>
              <w:rPr>
                <w:rFonts w:cstheme="minorHAnsi"/>
                <w:b/>
                <w:color w:val="2A2A2A"/>
              </w:rPr>
            </w:pPr>
            <w:r w:rsidRPr="00A403B8">
              <w:rPr>
                <w:rFonts w:cstheme="minorHAnsi"/>
                <w:b/>
                <w:color w:val="2A2A2A"/>
              </w:rPr>
              <w:t>(%)</w:t>
            </w:r>
          </w:p>
        </w:tc>
        <w:tc>
          <w:tcPr>
            <w:tcW w:w="1275" w:type="dxa"/>
          </w:tcPr>
          <w:p w14:paraId="30A4BD6A" w14:textId="77777777" w:rsidR="00DC53A5" w:rsidRPr="00A403B8" w:rsidRDefault="00DC53A5" w:rsidP="00BB35FE">
            <w:pPr>
              <w:jc w:val="center"/>
              <w:rPr>
                <w:rFonts w:cstheme="minorHAnsi"/>
                <w:b/>
                <w:color w:val="2A2A2A"/>
              </w:rPr>
            </w:pPr>
            <w:r w:rsidRPr="00A403B8">
              <w:rPr>
                <w:rFonts w:cstheme="minorHAnsi"/>
                <w:b/>
                <w:color w:val="2A2A2A"/>
              </w:rPr>
              <w:t>N not on dialysis</w:t>
            </w:r>
          </w:p>
        </w:tc>
        <w:tc>
          <w:tcPr>
            <w:tcW w:w="1125" w:type="dxa"/>
          </w:tcPr>
          <w:p w14:paraId="3B035AEF" w14:textId="77777777" w:rsidR="00DC53A5" w:rsidRPr="00A403B8" w:rsidRDefault="00DC53A5" w:rsidP="00BB35FE">
            <w:pPr>
              <w:jc w:val="center"/>
              <w:rPr>
                <w:rFonts w:cstheme="minorHAnsi"/>
                <w:b/>
                <w:color w:val="2A2A2A"/>
              </w:rPr>
            </w:pPr>
            <w:r w:rsidRPr="00A403B8">
              <w:rPr>
                <w:rFonts w:cstheme="minorHAnsi"/>
                <w:b/>
                <w:color w:val="2A2A2A"/>
              </w:rPr>
              <w:t>(%)</w:t>
            </w:r>
          </w:p>
        </w:tc>
        <w:tc>
          <w:tcPr>
            <w:tcW w:w="2040" w:type="dxa"/>
          </w:tcPr>
          <w:p w14:paraId="0AC44AFC" w14:textId="77777777" w:rsidR="00DC53A5" w:rsidRPr="00A403B8" w:rsidRDefault="00DC53A5" w:rsidP="00BB35FE">
            <w:pPr>
              <w:jc w:val="center"/>
              <w:rPr>
                <w:rFonts w:cstheme="minorHAnsi"/>
                <w:b/>
                <w:color w:val="2A2A2A"/>
              </w:rPr>
            </w:pPr>
            <w:r w:rsidRPr="00A403B8">
              <w:rPr>
                <w:rFonts w:cstheme="minorHAnsi"/>
                <w:b/>
                <w:color w:val="2A2A2A"/>
              </w:rPr>
              <w:t>Total</w:t>
            </w:r>
          </w:p>
        </w:tc>
      </w:tr>
      <w:tr w:rsidR="00DC53A5" w:rsidRPr="00A403B8" w14:paraId="35022CDB" w14:textId="77777777" w:rsidTr="00BB35FE">
        <w:trPr>
          <w:trHeight w:val="1661"/>
        </w:trPr>
        <w:tc>
          <w:tcPr>
            <w:tcW w:w="2775" w:type="dxa"/>
          </w:tcPr>
          <w:p w14:paraId="0E573228" w14:textId="77777777" w:rsidR="00DC53A5" w:rsidRPr="00A403B8" w:rsidRDefault="00DC53A5" w:rsidP="00BB35FE">
            <w:pPr>
              <w:jc w:val="both"/>
              <w:rPr>
                <w:rFonts w:cstheme="minorHAnsi"/>
                <w:b/>
                <w:color w:val="2A2A2A"/>
              </w:rPr>
            </w:pPr>
            <w:r w:rsidRPr="00A403B8">
              <w:rPr>
                <w:rFonts w:cstheme="minorHAnsi"/>
                <w:b/>
                <w:color w:val="2A2A2A"/>
              </w:rPr>
              <w:t>Deceased donor transplant</w:t>
            </w:r>
          </w:p>
          <w:p w14:paraId="422BEB11" w14:textId="77777777" w:rsidR="00DC53A5" w:rsidRPr="00A403B8" w:rsidRDefault="00DC53A5" w:rsidP="00BB35FE">
            <w:pPr>
              <w:jc w:val="both"/>
              <w:rPr>
                <w:rFonts w:cstheme="minorHAnsi"/>
                <w:color w:val="2A2A2A"/>
              </w:rPr>
            </w:pPr>
            <w:r w:rsidRPr="00A403B8">
              <w:rPr>
                <w:rFonts w:cstheme="minorHAnsi"/>
                <w:color w:val="2A2A2A"/>
              </w:rPr>
              <w:t>1</w:t>
            </w:r>
            <w:r w:rsidRPr="00A403B8">
              <w:rPr>
                <w:rFonts w:cstheme="minorHAnsi"/>
                <w:color w:val="2A2A2A"/>
                <w:vertAlign w:val="superscript"/>
              </w:rPr>
              <w:t>st</w:t>
            </w:r>
            <w:r w:rsidRPr="00A403B8">
              <w:rPr>
                <w:rFonts w:cstheme="minorHAnsi"/>
                <w:color w:val="2A2A2A"/>
              </w:rPr>
              <w:t xml:space="preserve"> transplant</w:t>
            </w:r>
          </w:p>
          <w:p w14:paraId="29E5D068" w14:textId="77777777" w:rsidR="00DC53A5" w:rsidRPr="00A403B8" w:rsidRDefault="00DC53A5" w:rsidP="00BB35FE">
            <w:pPr>
              <w:jc w:val="both"/>
              <w:rPr>
                <w:rFonts w:cstheme="minorHAnsi"/>
                <w:color w:val="2A2A2A"/>
              </w:rPr>
            </w:pPr>
            <w:r w:rsidRPr="00A403B8">
              <w:rPr>
                <w:rFonts w:cstheme="minorHAnsi"/>
                <w:color w:val="2A2A2A"/>
              </w:rPr>
              <w:t>2</w:t>
            </w:r>
            <w:r w:rsidRPr="00A403B8">
              <w:rPr>
                <w:rFonts w:cstheme="minorHAnsi"/>
                <w:color w:val="2A2A2A"/>
                <w:vertAlign w:val="superscript"/>
              </w:rPr>
              <w:t>nd</w:t>
            </w:r>
            <w:r w:rsidRPr="00A403B8">
              <w:rPr>
                <w:rFonts w:cstheme="minorHAnsi"/>
                <w:color w:val="2A2A2A"/>
              </w:rPr>
              <w:t xml:space="preserve"> transplant</w:t>
            </w:r>
          </w:p>
          <w:p w14:paraId="7078E877" w14:textId="77777777" w:rsidR="00DC53A5" w:rsidRPr="00A403B8" w:rsidRDefault="00DC53A5" w:rsidP="00BB35FE">
            <w:pPr>
              <w:jc w:val="both"/>
              <w:rPr>
                <w:rFonts w:cstheme="minorHAnsi"/>
                <w:b/>
                <w:color w:val="2A2A2A"/>
              </w:rPr>
            </w:pPr>
            <w:r w:rsidRPr="00A403B8">
              <w:rPr>
                <w:rFonts w:cstheme="minorHAnsi"/>
                <w:b/>
                <w:color w:val="2A2A2A"/>
              </w:rPr>
              <w:t>Living donor transplant</w:t>
            </w:r>
          </w:p>
          <w:p w14:paraId="697B1065" w14:textId="77777777" w:rsidR="00DC53A5" w:rsidRPr="00A403B8" w:rsidRDefault="00DC53A5" w:rsidP="00BB35FE">
            <w:pPr>
              <w:jc w:val="both"/>
              <w:rPr>
                <w:rFonts w:cstheme="minorHAnsi"/>
                <w:color w:val="2A2A2A"/>
              </w:rPr>
            </w:pPr>
            <w:r w:rsidRPr="00A403B8">
              <w:rPr>
                <w:rFonts w:cstheme="minorHAnsi"/>
                <w:color w:val="2A2A2A"/>
              </w:rPr>
              <w:t>1</w:t>
            </w:r>
            <w:r w:rsidRPr="00A403B8">
              <w:rPr>
                <w:rFonts w:cstheme="minorHAnsi"/>
                <w:color w:val="2A2A2A"/>
                <w:vertAlign w:val="superscript"/>
              </w:rPr>
              <w:t>st</w:t>
            </w:r>
            <w:r w:rsidRPr="00A403B8">
              <w:rPr>
                <w:rFonts w:cstheme="minorHAnsi"/>
                <w:color w:val="2A2A2A"/>
              </w:rPr>
              <w:t xml:space="preserve"> transplant</w:t>
            </w:r>
          </w:p>
          <w:p w14:paraId="3130D393" w14:textId="77777777" w:rsidR="00DC53A5" w:rsidRPr="00A403B8" w:rsidRDefault="00DC53A5" w:rsidP="00BB35FE">
            <w:pPr>
              <w:jc w:val="both"/>
              <w:rPr>
                <w:rFonts w:cstheme="minorHAnsi"/>
                <w:b/>
                <w:color w:val="2A2A2A"/>
              </w:rPr>
            </w:pPr>
            <w:r w:rsidRPr="00A403B8">
              <w:rPr>
                <w:rFonts w:cstheme="minorHAnsi"/>
                <w:color w:val="2A2A2A"/>
              </w:rPr>
              <w:t>2</w:t>
            </w:r>
            <w:r w:rsidRPr="00A403B8">
              <w:rPr>
                <w:rFonts w:cstheme="minorHAnsi"/>
                <w:color w:val="2A2A2A"/>
                <w:vertAlign w:val="superscript"/>
              </w:rPr>
              <w:t>nd</w:t>
            </w:r>
            <w:r w:rsidRPr="00A403B8">
              <w:rPr>
                <w:rFonts w:cstheme="minorHAnsi"/>
                <w:color w:val="2A2A2A"/>
              </w:rPr>
              <w:t xml:space="preserve"> transplant</w:t>
            </w:r>
          </w:p>
        </w:tc>
        <w:tc>
          <w:tcPr>
            <w:tcW w:w="1005" w:type="dxa"/>
          </w:tcPr>
          <w:p w14:paraId="393182EC" w14:textId="77777777" w:rsidR="00DC53A5" w:rsidRPr="00A403B8" w:rsidRDefault="00DC53A5" w:rsidP="00BB35FE">
            <w:pPr>
              <w:jc w:val="center"/>
              <w:rPr>
                <w:rFonts w:cstheme="minorHAnsi"/>
                <w:color w:val="2A2A2A"/>
              </w:rPr>
            </w:pPr>
          </w:p>
          <w:p w14:paraId="3B786D61" w14:textId="77777777" w:rsidR="00DC53A5" w:rsidRPr="00A403B8" w:rsidRDefault="00DC53A5" w:rsidP="00BB35FE">
            <w:pPr>
              <w:jc w:val="center"/>
              <w:rPr>
                <w:rFonts w:cstheme="minorHAnsi"/>
                <w:color w:val="2A2A2A"/>
              </w:rPr>
            </w:pPr>
            <w:r w:rsidRPr="00A403B8">
              <w:rPr>
                <w:rFonts w:cstheme="minorHAnsi"/>
                <w:color w:val="2A2A2A"/>
              </w:rPr>
              <w:t>8427</w:t>
            </w:r>
          </w:p>
          <w:p w14:paraId="1608ED52" w14:textId="77777777" w:rsidR="00DC53A5" w:rsidRPr="00A403B8" w:rsidRDefault="00DC53A5" w:rsidP="00BB35FE">
            <w:pPr>
              <w:jc w:val="center"/>
              <w:rPr>
                <w:rFonts w:cstheme="minorHAnsi"/>
                <w:color w:val="2A2A2A"/>
              </w:rPr>
            </w:pPr>
            <w:r w:rsidRPr="00A403B8">
              <w:rPr>
                <w:rFonts w:cstheme="minorHAnsi"/>
                <w:color w:val="2A2A2A"/>
              </w:rPr>
              <w:t>1384</w:t>
            </w:r>
          </w:p>
          <w:p w14:paraId="6F851669" w14:textId="77777777" w:rsidR="00DC53A5" w:rsidRPr="00A403B8" w:rsidRDefault="00DC53A5" w:rsidP="00BB35FE">
            <w:pPr>
              <w:jc w:val="center"/>
              <w:rPr>
                <w:rFonts w:cstheme="minorHAnsi"/>
                <w:color w:val="2A2A2A"/>
              </w:rPr>
            </w:pPr>
          </w:p>
          <w:p w14:paraId="5FB9C01D" w14:textId="77777777" w:rsidR="00DC53A5" w:rsidRPr="00A403B8" w:rsidRDefault="00DC53A5" w:rsidP="00BB35FE">
            <w:pPr>
              <w:jc w:val="center"/>
              <w:rPr>
                <w:rFonts w:cstheme="minorHAnsi"/>
                <w:color w:val="2A2A2A"/>
              </w:rPr>
            </w:pPr>
            <w:r w:rsidRPr="00A403B8">
              <w:rPr>
                <w:rFonts w:cstheme="minorHAnsi"/>
                <w:color w:val="2A2A2A"/>
              </w:rPr>
              <w:t>2395</w:t>
            </w:r>
          </w:p>
          <w:p w14:paraId="740C100B" w14:textId="77777777" w:rsidR="00DC53A5" w:rsidRPr="00A403B8" w:rsidRDefault="00DC53A5" w:rsidP="00BB35FE">
            <w:pPr>
              <w:jc w:val="center"/>
              <w:rPr>
                <w:rFonts w:cstheme="minorHAnsi"/>
                <w:color w:val="2A2A2A"/>
              </w:rPr>
            </w:pPr>
            <w:r w:rsidRPr="00A403B8">
              <w:rPr>
                <w:rFonts w:cstheme="minorHAnsi"/>
                <w:color w:val="2A2A2A"/>
              </w:rPr>
              <w:t>459</w:t>
            </w:r>
          </w:p>
        </w:tc>
        <w:tc>
          <w:tcPr>
            <w:tcW w:w="1125" w:type="dxa"/>
          </w:tcPr>
          <w:p w14:paraId="0DD06B56" w14:textId="77777777" w:rsidR="00DC53A5" w:rsidRPr="00A403B8" w:rsidRDefault="00DC53A5" w:rsidP="00BB35FE">
            <w:pPr>
              <w:jc w:val="center"/>
              <w:rPr>
                <w:rFonts w:cstheme="minorHAnsi"/>
                <w:color w:val="2A2A2A"/>
              </w:rPr>
            </w:pPr>
          </w:p>
          <w:p w14:paraId="0FB2871B" w14:textId="77777777" w:rsidR="00DC53A5" w:rsidRPr="00A403B8" w:rsidRDefault="00DC53A5" w:rsidP="00BB35FE">
            <w:pPr>
              <w:jc w:val="center"/>
              <w:rPr>
                <w:rFonts w:cstheme="minorHAnsi"/>
                <w:color w:val="2A2A2A"/>
              </w:rPr>
            </w:pPr>
            <w:r w:rsidRPr="00A403B8">
              <w:rPr>
                <w:rFonts w:cstheme="minorHAnsi"/>
                <w:color w:val="2A2A2A"/>
              </w:rPr>
              <w:t>(82.6%)</w:t>
            </w:r>
          </w:p>
          <w:p w14:paraId="4EF5C783" w14:textId="77777777" w:rsidR="00DC53A5" w:rsidRPr="00A403B8" w:rsidRDefault="00DC53A5" w:rsidP="00BB35FE">
            <w:pPr>
              <w:jc w:val="center"/>
              <w:rPr>
                <w:rFonts w:cstheme="minorHAnsi"/>
                <w:color w:val="2A2A2A"/>
              </w:rPr>
            </w:pPr>
            <w:r w:rsidRPr="00A403B8">
              <w:rPr>
                <w:rFonts w:cstheme="minorHAnsi"/>
                <w:color w:val="2A2A2A"/>
              </w:rPr>
              <w:t>(90.5%)</w:t>
            </w:r>
          </w:p>
          <w:p w14:paraId="45F3C8FA" w14:textId="77777777" w:rsidR="00DC53A5" w:rsidRPr="00A403B8" w:rsidRDefault="00DC53A5" w:rsidP="00BB35FE">
            <w:pPr>
              <w:jc w:val="center"/>
              <w:rPr>
                <w:rFonts w:cstheme="minorHAnsi"/>
                <w:color w:val="2A2A2A"/>
              </w:rPr>
            </w:pPr>
          </w:p>
          <w:p w14:paraId="3471F73D" w14:textId="77777777" w:rsidR="00DC53A5" w:rsidRPr="00A403B8" w:rsidRDefault="00DC53A5" w:rsidP="00BB35FE">
            <w:pPr>
              <w:jc w:val="center"/>
              <w:rPr>
                <w:rFonts w:cstheme="minorHAnsi"/>
                <w:color w:val="2A2A2A"/>
              </w:rPr>
            </w:pPr>
            <w:r w:rsidRPr="00A403B8">
              <w:rPr>
                <w:rFonts w:cstheme="minorHAnsi"/>
                <w:color w:val="2A2A2A"/>
              </w:rPr>
              <w:t>(60.1%)</w:t>
            </w:r>
          </w:p>
          <w:p w14:paraId="13269F87" w14:textId="77777777" w:rsidR="00DC53A5" w:rsidRPr="00A403B8" w:rsidRDefault="00DC53A5" w:rsidP="00BB35FE">
            <w:pPr>
              <w:jc w:val="center"/>
              <w:rPr>
                <w:rFonts w:cstheme="minorHAnsi"/>
                <w:color w:val="2A2A2A"/>
              </w:rPr>
            </w:pPr>
            <w:r w:rsidRPr="00A403B8">
              <w:rPr>
                <w:rFonts w:cstheme="minorHAnsi"/>
                <w:color w:val="2A2A2A"/>
              </w:rPr>
              <w:t>(76.6%)</w:t>
            </w:r>
          </w:p>
        </w:tc>
        <w:tc>
          <w:tcPr>
            <w:tcW w:w="1275" w:type="dxa"/>
          </w:tcPr>
          <w:p w14:paraId="4BC2B2A4" w14:textId="77777777" w:rsidR="00DC53A5" w:rsidRPr="00A403B8" w:rsidRDefault="00DC53A5" w:rsidP="00BB35FE">
            <w:pPr>
              <w:jc w:val="center"/>
              <w:rPr>
                <w:rFonts w:cstheme="minorHAnsi"/>
                <w:color w:val="2A2A2A"/>
              </w:rPr>
            </w:pPr>
          </w:p>
          <w:p w14:paraId="074C2B0D" w14:textId="77777777" w:rsidR="00DC53A5" w:rsidRPr="00A403B8" w:rsidRDefault="00DC53A5" w:rsidP="00BB35FE">
            <w:pPr>
              <w:jc w:val="center"/>
              <w:rPr>
                <w:rFonts w:cstheme="minorHAnsi"/>
                <w:color w:val="2A2A2A"/>
              </w:rPr>
            </w:pPr>
            <w:r w:rsidRPr="00A403B8">
              <w:rPr>
                <w:rFonts w:cstheme="minorHAnsi"/>
                <w:color w:val="2A2A2A"/>
              </w:rPr>
              <w:t>1772</w:t>
            </w:r>
          </w:p>
          <w:p w14:paraId="101C53AA" w14:textId="77777777" w:rsidR="00DC53A5" w:rsidRPr="00A403B8" w:rsidRDefault="00DC53A5" w:rsidP="00BB35FE">
            <w:pPr>
              <w:jc w:val="center"/>
              <w:rPr>
                <w:rFonts w:cstheme="minorHAnsi"/>
                <w:color w:val="2A2A2A"/>
              </w:rPr>
            </w:pPr>
            <w:r w:rsidRPr="00A403B8">
              <w:rPr>
                <w:rFonts w:cstheme="minorHAnsi"/>
                <w:color w:val="2A2A2A"/>
              </w:rPr>
              <w:t>146</w:t>
            </w:r>
          </w:p>
          <w:p w14:paraId="29C24E3E" w14:textId="77777777" w:rsidR="00DC53A5" w:rsidRPr="00A403B8" w:rsidRDefault="00DC53A5" w:rsidP="00BB35FE">
            <w:pPr>
              <w:jc w:val="center"/>
              <w:rPr>
                <w:rFonts w:cstheme="minorHAnsi"/>
                <w:color w:val="2A2A2A"/>
              </w:rPr>
            </w:pPr>
          </w:p>
          <w:p w14:paraId="1E405DD1" w14:textId="77777777" w:rsidR="00DC53A5" w:rsidRPr="00A403B8" w:rsidRDefault="00DC53A5" w:rsidP="00BB35FE">
            <w:pPr>
              <w:jc w:val="center"/>
              <w:rPr>
                <w:rFonts w:cstheme="minorHAnsi"/>
                <w:color w:val="2A2A2A"/>
              </w:rPr>
            </w:pPr>
            <w:r w:rsidRPr="00A403B8">
              <w:rPr>
                <w:rFonts w:cstheme="minorHAnsi"/>
                <w:color w:val="2A2A2A"/>
              </w:rPr>
              <w:t>1588</w:t>
            </w:r>
          </w:p>
          <w:p w14:paraId="265BE4BB" w14:textId="77777777" w:rsidR="00DC53A5" w:rsidRPr="00A403B8" w:rsidRDefault="00DC53A5" w:rsidP="00BB35FE">
            <w:pPr>
              <w:jc w:val="center"/>
              <w:rPr>
                <w:rFonts w:cstheme="minorHAnsi"/>
                <w:color w:val="2A2A2A"/>
              </w:rPr>
            </w:pPr>
            <w:r w:rsidRPr="00A403B8">
              <w:rPr>
                <w:rFonts w:cstheme="minorHAnsi"/>
                <w:color w:val="2A2A2A"/>
              </w:rPr>
              <w:t>140</w:t>
            </w:r>
          </w:p>
        </w:tc>
        <w:tc>
          <w:tcPr>
            <w:tcW w:w="1125" w:type="dxa"/>
          </w:tcPr>
          <w:p w14:paraId="2E62B08D" w14:textId="77777777" w:rsidR="00DC53A5" w:rsidRPr="00A403B8" w:rsidRDefault="00DC53A5" w:rsidP="00BB35FE">
            <w:pPr>
              <w:jc w:val="center"/>
              <w:rPr>
                <w:rFonts w:cstheme="minorHAnsi"/>
                <w:color w:val="2A2A2A"/>
              </w:rPr>
            </w:pPr>
          </w:p>
          <w:p w14:paraId="1B1BEA2A" w14:textId="77777777" w:rsidR="00DC53A5" w:rsidRPr="00A403B8" w:rsidRDefault="00DC53A5" w:rsidP="00BB35FE">
            <w:pPr>
              <w:jc w:val="center"/>
              <w:rPr>
                <w:rFonts w:cstheme="minorHAnsi"/>
                <w:color w:val="2A2A2A"/>
              </w:rPr>
            </w:pPr>
            <w:r w:rsidRPr="00A403B8">
              <w:rPr>
                <w:rFonts w:cstheme="minorHAnsi"/>
                <w:color w:val="2A2A2A"/>
              </w:rPr>
              <w:t>(17%)</w:t>
            </w:r>
          </w:p>
          <w:p w14:paraId="18F3180A" w14:textId="77777777" w:rsidR="00DC53A5" w:rsidRPr="00A403B8" w:rsidRDefault="00DC53A5" w:rsidP="00BB35FE">
            <w:pPr>
              <w:jc w:val="center"/>
              <w:rPr>
                <w:rFonts w:cstheme="minorHAnsi"/>
                <w:color w:val="2A2A2A"/>
              </w:rPr>
            </w:pPr>
            <w:r w:rsidRPr="00A403B8">
              <w:rPr>
                <w:rFonts w:cstheme="minorHAnsi"/>
                <w:color w:val="2A2A2A"/>
              </w:rPr>
              <w:t>(9.5%)</w:t>
            </w:r>
          </w:p>
          <w:p w14:paraId="40EDF5C0" w14:textId="77777777" w:rsidR="00DC53A5" w:rsidRPr="00A403B8" w:rsidRDefault="00DC53A5" w:rsidP="00BB35FE">
            <w:pPr>
              <w:jc w:val="center"/>
              <w:rPr>
                <w:rFonts w:cstheme="minorHAnsi"/>
                <w:color w:val="2A2A2A"/>
              </w:rPr>
            </w:pPr>
          </w:p>
          <w:p w14:paraId="03F9907C" w14:textId="77777777" w:rsidR="00DC53A5" w:rsidRPr="00A403B8" w:rsidRDefault="00DC53A5" w:rsidP="00BB35FE">
            <w:pPr>
              <w:jc w:val="center"/>
              <w:rPr>
                <w:rFonts w:cstheme="minorHAnsi"/>
                <w:color w:val="2A2A2A"/>
              </w:rPr>
            </w:pPr>
            <w:r w:rsidRPr="00A403B8">
              <w:rPr>
                <w:rFonts w:cstheme="minorHAnsi"/>
                <w:color w:val="2A2A2A"/>
              </w:rPr>
              <w:t>(39.9%)</w:t>
            </w:r>
          </w:p>
          <w:p w14:paraId="18288E56" w14:textId="77777777" w:rsidR="00DC53A5" w:rsidRPr="00A403B8" w:rsidRDefault="00DC53A5" w:rsidP="00BB35FE">
            <w:pPr>
              <w:jc w:val="center"/>
              <w:rPr>
                <w:rFonts w:cstheme="minorHAnsi"/>
                <w:color w:val="2A2A2A"/>
              </w:rPr>
            </w:pPr>
            <w:r w:rsidRPr="00A403B8">
              <w:rPr>
                <w:rFonts w:cstheme="minorHAnsi"/>
                <w:color w:val="2A2A2A"/>
              </w:rPr>
              <w:t>(23.4%)</w:t>
            </w:r>
          </w:p>
        </w:tc>
        <w:tc>
          <w:tcPr>
            <w:tcW w:w="2040" w:type="dxa"/>
          </w:tcPr>
          <w:p w14:paraId="66E92FF0" w14:textId="77777777" w:rsidR="00DC53A5" w:rsidRPr="00A403B8" w:rsidRDefault="00DC53A5" w:rsidP="00BB35FE">
            <w:pPr>
              <w:jc w:val="center"/>
              <w:rPr>
                <w:rFonts w:cstheme="minorHAnsi"/>
                <w:color w:val="2A2A2A"/>
              </w:rPr>
            </w:pPr>
          </w:p>
          <w:p w14:paraId="1AE0FAF5" w14:textId="77777777" w:rsidR="00DC53A5" w:rsidRPr="00A403B8" w:rsidRDefault="00DC53A5" w:rsidP="00BB35FE">
            <w:pPr>
              <w:jc w:val="center"/>
              <w:rPr>
                <w:rFonts w:cstheme="minorHAnsi"/>
                <w:color w:val="2A2A2A"/>
              </w:rPr>
            </w:pPr>
            <w:r w:rsidRPr="00A403B8">
              <w:rPr>
                <w:rFonts w:cstheme="minorHAnsi"/>
                <w:color w:val="2A2A2A"/>
              </w:rPr>
              <w:t>10199</w:t>
            </w:r>
          </w:p>
          <w:p w14:paraId="44084AA4" w14:textId="77777777" w:rsidR="00DC53A5" w:rsidRPr="00A403B8" w:rsidRDefault="00DC53A5" w:rsidP="00BB35FE">
            <w:pPr>
              <w:jc w:val="center"/>
              <w:rPr>
                <w:rFonts w:cstheme="minorHAnsi"/>
                <w:color w:val="2A2A2A"/>
              </w:rPr>
            </w:pPr>
            <w:r w:rsidRPr="00A403B8">
              <w:rPr>
                <w:rFonts w:cstheme="minorHAnsi"/>
                <w:color w:val="2A2A2A"/>
              </w:rPr>
              <w:t>1530</w:t>
            </w:r>
          </w:p>
          <w:p w14:paraId="0D2453EB" w14:textId="77777777" w:rsidR="00DC53A5" w:rsidRPr="00A403B8" w:rsidRDefault="00DC53A5" w:rsidP="00BB35FE">
            <w:pPr>
              <w:jc w:val="center"/>
              <w:rPr>
                <w:rFonts w:cstheme="minorHAnsi"/>
                <w:color w:val="2A2A2A"/>
              </w:rPr>
            </w:pPr>
          </w:p>
          <w:p w14:paraId="45B405C9" w14:textId="77777777" w:rsidR="00DC53A5" w:rsidRPr="00A403B8" w:rsidRDefault="00DC53A5" w:rsidP="00BB35FE">
            <w:pPr>
              <w:jc w:val="center"/>
              <w:rPr>
                <w:rFonts w:cstheme="minorHAnsi"/>
                <w:color w:val="2A2A2A"/>
              </w:rPr>
            </w:pPr>
            <w:r w:rsidRPr="00A403B8">
              <w:rPr>
                <w:rFonts w:cstheme="minorHAnsi"/>
                <w:color w:val="2A2A2A"/>
              </w:rPr>
              <w:t>3983</w:t>
            </w:r>
          </w:p>
          <w:p w14:paraId="264EB854" w14:textId="77777777" w:rsidR="00DC53A5" w:rsidRPr="00A403B8" w:rsidRDefault="00DC53A5" w:rsidP="00BB35FE">
            <w:pPr>
              <w:jc w:val="center"/>
              <w:rPr>
                <w:rFonts w:cstheme="minorHAnsi"/>
                <w:color w:val="2A2A2A"/>
              </w:rPr>
            </w:pPr>
            <w:r w:rsidRPr="00A403B8">
              <w:rPr>
                <w:rFonts w:cstheme="minorHAnsi"/>
                <w:color w:val="2A2A2A"/>
              </w:rPr>
              <w:t>599</w:t>
            </w:r>
          </w:p>
        </w:tc>
      </w:tr>
    </w:tbl>
    <w:p w14:paraId="72D0BF4C" w14:textId="77777777" w:rsidR="00F5715E" w:rsidRDefault="00F5715E" w:rsidP="00A403B8">
      <w:pPr>
        <w:pStyle w:val="Heading3"/>
        <w:rPr>
          <w:rFonts w:eastAsia="Arial"/>
        </w:rPr>
      </w:pPr>
    </w:p>
    <w:p w14:paraId="4FFDBD73" w14:textId="4594A6D3" w:rsidR="00DC53A5" w:rsidRPr="00A403B8" w:rsidRDefault="00DC53A5" w:rsidP="00A403B8">
      <w:pPr>
        <w:pStyle w:val="Heading3"/>
        <w:rPr>
          <w:rFonts w:eastAsia="Arial"/>
        </w:rPr>
      </w:pPr>
      <w:bookmarkStart w:id="183" w:name="_Toc128330086"/>
      <w:r w:rsidRPr="00A403B8">
        <w:rPr>
          <w:rFonts w:eastAsia="Arial"/>
        </w:rPr>
        <w:t>1</w:t>
      </w:r>
      <w:r w:rsidR="00A403B8">
        <w:rPr>
          <w:rFonts w:eastAsia="Arial"/>
        </w:rPr>
        <w:t>1</w:t>
      </w:r>
      <w:r w:rsidRPr="00A403B8">
        <w:rPr>
          <w:rFonts w:eastAsia="Arial"/>
        </w:rPr>
        <w:t>.4 Outcome of RFKTs following repeat transplantation</w:t>
      </w:r>
      <w:bookmarkEnd w:id="183"/>
    </w:p>
    <w:p w14:paraId="5459C2F6" w14:textId="5B7F408D" w:rsidR="00DC53A5" w:rsidRPr="00A403B8" w:rsidRDefault="00DC53A5" w:rsidP="00A403B8">
      <w:pPr>
        <w:spacing w:line="276" w:lineRule="auto"/>
        <w:jc w:val="both"/>
        <w:rPr>
          <w:rFonts w:eastAsia="Arial" w:cstheme="minorHAnsi"/>
          <w:b/>
          <w:color w:val="2A2A2A"/>
        </w:rPr>
      </w:pPr>
      <w:r w:rsidRPr="00A403B8">
        <w:rPr>
          <w:rFonts w:eastAsia="Arial" w:cstheme="minorHAnsi"/>
          <w:color w:val="2A2A2A"/>
        </w:rPr>
        <w:t>RFKT may choose and be suitable for re-transplantation. From January 2010 to December 2020, 14.6% of deceased donor transplants and 14.2% living donor transplants were repeat kidney only transplants (Table 1</w:t>
      </w:r>
      <w:r w:rsidR="00A403B8">
        <w:rPr>
          <w:rFonts w:eastAsia="Arial" w:cstheme="minorHAnsi"/>
          <w:color w:val="2A2A2A"/>
        </w:rPr>
        <w:t>1</w:t>
      </w:r>
      <w:r w:rsidRPr="00A403B8">
        <w:rPr>
          <w:rFonts w:eastAsia="Arial" w:cstheme="minorHAnsi"/>
          <w:color w:val="2A2A2A"/>
        </w:rPr>
        <w:t>.11).</w:t>
      </w:r>
    </w:p>
    <w:p w14:paraId="12993D93" w14:textId="561ED740" w:rsidR="00DC53A5" w:rsidRPr="00A403B8" w:rsidRDefault="00DC53A5" w:rsidP="00A403B8">
      <w:pPr>
        <w:tabs>
          <w:tab w:val="left" w:pos="2055"/>
        </w:tabs>
        <w:spacing w:line="276" w:lineRule="auto"/>
        <w:jc w:val="both"/>
        <w:rPr>
          <w:rFonts w:eastAsia="Arial" w:cstheme="minorHAnsi"/>
          <w:b/>
          <w:color w:val="2A2A2A"/>
        </w:rPr>
      </w:pPr>
      <w:r w:rsidRPr="00A403B8">
        <w:rPr>
          <w:rFonts w:eastAsia="Arial" w:cstheme="minorHAnsi"/>
          <w:b/>
          <w:color w:val="2A2A2A"/>
        </w:rPr>
        <w:t>Table 1</w:t>
      </w:r>
      <w:r w:rsidR="00A403B8">
        <w:rPr>
          <w:rFonts w:eastAsia="Arial" w:cstheme="minorHAnsi"/>
          <w:b/>
          <w:color w:val="2A2A2A"/>
        </w:rPr>
        <w:t>1</w:t>
      </w:r>
      <w:r w:rsidRPr="00A403B8">
        <w:rPr>
          <w:rFonts w:eastAsia="Arial" w:cstheme="minorHAnsi"/>
          <w:b/>
          <w:color w:val="2A2A2A"/>
        </w:rPr>
        <w:t xml:space="preserve">.11 </w:t>
      </w:r>
      <w:r w:rsidRPr="00A403B8">
        <w:rPr>
          <w:rFonts w:eastAsia="Arial" w:cstheme="minorHAnsi"/>
          <w:color w:val="2A2A2A"/>
        </w:rPr>
        <w:t>Number of kidney</w:t>
      </w:r>
      <w:r w:rsidR="004B39C6">
        <w:rPr>
          <w:rFonts w:eastAsia="Arial" w:cstheme="minorHAnsi"/>
          <w:color w:val="2A2A2A"/>
        </w:rPr>
        <w:t>-</w:t>
      </w:r>
      <w:r w:rsidRPr="00A403B8">
        <w:rPr>
          <w:rFonts w:eastAsia="Arial" w:cstheme="minorHAnsi"/>
          <w:color w:val="2A2A2A"/>
        </w:rPr>
        <w:t>only transplants in the UK, 1/1/10 – 31/12/20 by donor type and graft number</w:t>
      </w:r>
    </w:p>
    <w:tbl>
      <w:tblPr>
        <w:tblStyle w:val="TableGrid"/>
        <w:tblW w:w="0" w:type="auto"/>
        <w:tblLook w:val="04A0" w:firstRow="1" w:lastRow="0" w:firstColumn="1" w:lastColumn="0" w:noHBand="0" w:noVBand="1"/>
      </w:tblPr>
      <w:tblGrid>
        <w:gridCol w:w="3005"/>
        <w:gridCol w:w="3005"/>
        <w:gridCol w:w="3006"/>
      </w:tblGrid>
      <w:tr w:rsidR="00DC53A5" w:rsidRPr="00A403B8" w14:paraId="70FC9DD9" w14:textId="77777777" w:rsidTr="00BB35FE">
        <w:tc>
          <w:tcPr>
            <w:tcW w:w="3005" w:type="dxa"/>
            <w:vAlign w:val="center"/>
          </w:tcPr>
          <w:p w14:paraId="1BDBDA97" w14:textId="77777777" w:rsidR="00DC53A5" w:rsidRPr="00A403B8" w:rsidRDefault="00DC53A5" w:rsidP="00BB35FE">
            <w:pPr>
              <w:tabs>
                <w:tab w:val="left" w:pos="2055"/>
              </w:tabs>
              <w:jc w:val="center"/>
              <w:rPr>
                <w:rFonts w:eastAsia="Arial" w:cstheme="minorHAnsi"/>
                <w:b/>
                <w:bCs/>
                <w:color w:val="2A2A2A"/>
              </w:rPr>
            </w:pPr>
            <w:r w:rsidRPr="00A403B8">
              <w:rPr>
                <w:rFonts w:eastAsia="Arial" w:cstheme="minorHAnsi"/>
                <w:b/>
                <w:bCs/>
                <w:color w:val="2A2A2A"/>
              </w:rPr>
              <w:t>Graft Number</w:t>
            </w:r>
          </w:p>
        </w:tc>
        <w:tc>
          <w:tcPr>
            <w:tcW w:w="3005" w:type="dxa"/>
            <w:vAlign w:val="center"/>
          </w:tcPr>
          <w:p w14:paraId="5C5D9072" w14:textId="77777777" w:rsidR="00DC53A5" w:rsidRPr="00A403B8" w:rsidRDefault="00DC53A5" w:rsidP="00BB35FE">
            <w:pPr>
              <w:tabs>
                <w:tab w:val="left" w:pos="2055"/>
              </w:tabs>
              <w:jc w:val="center"/>
              <w:rPr>
                <w:rFonts w:eastAsia="Arial" w:cstheme="minorHAnsi"/>
                <w:b/>
                <w:bCs/>
                <w:color w:val="2A2A2A"/>
              </w:rPr>
            </w:pPr>
            <w:r w:rsidRPr="00A403B8">
              <w:rPr>
                <w:rFonts w:eastAsia="Arial" w:cstheme="minorHAnsi"/>
                <w:b/>
                <w:bCs/>
                <w:color w:val="2A2A2A"/>
              </w:rPr>
              <w:t>Deceased donor – N (%)</w:t>
            </w:r>
          </w:p>
        </w:tc>
        <w:tc>
          <w:tcPr>
            <w:tcW w:w="3006" w:type="dxa"/>
            <w:vAlign w:val="center"/>
          </w:tcPr>
          <w:p w14:paraId="0C7B4B18" w14:textId="77777777" w:rsidR="00DC53A5" w:rsidRPr="00A403B8" w:rsidRDefault="00DC53A5" w:rsidP="00BB35FE">
            <w:pPr>
              <w:tabs>
                <w:tab w:val="left" w:pos="2055"/>
              </w:tabs>
              <w:jc w:val="center"/>
              <w:rPr>
                <w:rFonts w:eastAsia="Arial" w:cstheme="minorHAnsi"/>
                <w:b/>
                <w:bCs/>
                <w:color w:val="2A2A2A"/>
              </w:rPr>
            </w:pPr>
            <w:r w:rsidRPr="00A403B8">
              <w:rPr>
                <w:rFonts w:eastAsia="Arial" w:cstheme="minorHAnsi"/>
                <w:b/>
                <w:bCs/>
                <w:color w:val="2A2A2A"/>
              </w:rPr>
              <w:t>Living donor – N (%)</w:t>
            </w:r>
          </w:p>
        </w:tc>
      </w:tr>
      <w:tr w:rsidR="00DC53A5" w:rsidRPr="00A403B8" w14:paraId="0016ED1B" w14:textId="77777777" w:rsidTr="00BB35FE">
        <w:trPr>
          <w:trHeight w:val="1383"/>
        </w:trPr>
        <w:tc>
          <w:tcPr>
            <w:tcW w:w="3005" w:type="dxa"/>
            <w:vAlign w:val="center"/>
          </w:tcPr>
          <w:p w14:paraId="26408EA3" w14:textId="77777777" w:rsidR="00DC53A5" w:rsidRPr="00A403B8" w:rsidRDefault="00DC53A5" w:rsidP="00BB35FE">
            <w:pPr>
              <w:tabs>
                <w:tab w:val="left" w:pos="2055"/>
              </w:tabs>
              <w:jc w:val="center"/>
              <w:rPr>
                <w:rFonts w:eastAsia="Arial" w:cstheme="minorHAnsi"/>
                <w:color w:val="2A2A2A"/>
              </w:rPr>
            </w:pPr>
            <w:r w:rsidRPr="00A403B8">
              <w:rPr>
                <w:rFonts w:eastAsia="Arial" w:cstheme="minorHAnsi"/>
                <w:color w:val="2A2A2A"/>
              </w:rPr>
              <w:t>1</w:t>
            </w:r>
          </w:p>
          <w:p w14:paraId="15ACBFFC" w14:textId="77777777" w:rsidR="00DC53A5" w:rsidRPr="00A403B8" w:rsidRDefault="00DC53A5" w:rsidP="00BB35FE">
            <w:pPr>
              <w:tabs>
                <w:tab w:val="left" w:pos="2055"/>
              </w:tabs>
              <w:jc w:val="center"/>
              <w:rPr>
                <w:rFonts w:eastAsia="Arial" w:cstheme="minorHAnsi"/>
                <w:color w:val="2A2A2A"/>
              </w:rPr>
            </w:pPr>
            <w:r w:rsidRPr="00A403B8">
              <w:rPr>
                <w:rFonts w:eastAsia="Arial" w:cstheme="minorHAnsi"/>
                <w:color w:val="2A2A2A"/>
              </w:rPr>
              <w:t>2</w:t>
            </w:r>
          </w:p>
          <w:p w14:paraId="1F4DE5F0" w14:textId="77777777" w:rsidR="00DC53A5" w:rsidRPr="00A403B8" w:rsidRDefault="00DC53A5" w:rsidP="00BB35FE">
            <w:pPr>
              <w:tabs>
                <w:tab w:val="left" w:pos="2055"/>
              </w:tabs>
              <w:jc w:val="center"/>
              <w:rPr>
                <w:rFonts w:eastAsia="Arial" w:cstheme="minorHAnsi"/>
                <w:color w:val="2A2A2A"/>
              </w:rPr>
            </w:pPr>
            <w:r w:rsidRPr="00A403B8">
              <w:rPr>
                <w:rFonts w:eastAsia="Arial" w:cstheme="minorHAnsi"/>
                <w:color w:val="2A2A2A"/>
              </w:rPr>
              <w:t>3</w:t>
            </w:r>
          </w:p>
          <w:p w14:paraId="0A7AF54B" w14:textId="77777777" w:rsidR="00DC53A5" w:rsidRPr="00A403B8" w:rsidRDefault="00DC53A5" w:rsidP="00BB35FE">
            <w:pPr>
              <w:tabs>
                <w:tab w:val="left" w:pos="2055"/>
              </w:tabs>
              <w:jc w:val="center"/>
              <w:rPr>
                <w:rFonts w:eastAsia="Arial" w:cstheme="minorHAnsi"/>
                <w:color w:val="2A2A2A"/>
              </w:rPr>
            </w:pPr>
            <w:r w:rsidRPr="00A403B8">
              <w:rPr>
                <w:rFonts w:eastAsia="Arial" w:cstheme="minorHAnsi"/>
                <w:color w:val="2A2A2A"/>
              </w:rPr>
              <w:t>4</w:t>
            </w:r>
          </w:p>
          <w:p w14:paraId="2A20EE34" w14:textId="77777777" w:rsidR="00DC53A5" w:rsidRPr="00A403B8" w:rsidRDefault="00DC53A5" w:rsidP="00BB35FE">
            <w:pPr>
              <w:tabs>
                <w:tab w:val="left" w:pos="2055"/>
              </w:tabs>
              <w:jc w:val="center"/>
              <w:rPr>
                <w:rFonts w:eastAsia="Arial" w:cstheme="minorHAnsi"/>
                <w:b/>
                <w:bCs/>
                <w:color w:val="2A2A2A"/>
              </w:rPr>
            </w:pPr>
            <w:r w:rsidRPr="00A403B8">
              <w:rPr>
                <w:rFonts w:eastAsia="Arial" w:cstheme="minorHAnsi"/>
                <w:color w:val="2A2A2A"/>
              </w:rPr>
              <w:t>5</w:t>
            </w:r>
          </w:p>
        </w:tc>
        <w:tc>
          <w:tcPr>
            <w:tcW w:w="3005" w:type="dxa"/>
            <w:vAlign w:val="center"/>
          </w:tcPr>
          <w:p w14:paraId="4C5EFDF5" w14:textId="77777777" w:rsidR="00DC53A5" w:rsidRPr="00A403B8" w:rsidRDefault="00DC53A5" w:rsidP="00BB35FE">
            <w:pPr>
              <w:tabs>
                <w:tab w:val="left" w:pos="2055"/>
              </w:tabs>
              <w:jc w:val="center"/>
              <w:rPr>
                <w:rFonts w:eastAsia="Arial" w:cstheme="minorHAnsi"/>
                <w:color w:val="2A2A2A"/>
              </w:rPr>
            </w:pPr>
            <w:r w:rsidRPr="00A403B8">
              <w:rPr>
                <w:rFonts w:eastAsia="Arial" w:cstheme="minorHAnsi"/>
                <w:color w:val="2A2A2A"/>
              </w:rPr>
              <w:t>16899 (85.3)</w:t>
            </w:r>
          </w:p>
          <w:p w14:paraId="73417B44" w14:textId="77777777" w:rsidR="00DC53A5" w:rsidRPr="00A403B8" w:rsidRDefault="00DC53A5" w:rsidP="00BB35FE">
            <w:pPr>
              <w:tabs>
                <w:tab w:val="left" w:pos="2055"/>
              </w:tabs>
              <w:jc w:val="center"/>
              <w:rPr>
                <w:rFonts w:eastAsia="Arial" w:cstheme="minorHAnsi"/>
                <w:color w:val="2A2A2A"/>
              </w:rPr>
            </w:pPr>
            <w:r w:rsidRPr="00A403B8">
              <w:rPr>
                <w:rFonts w:eastAsia="Arial" w:cstheme="minorHAnsi"/>
                <w:color w:val="2A2A2A"/>
              </w:rPr>
              <w:t>2454 (12.4)</w:t>
            </w:r>
          </w:p>
          <w:p w14:paraId="3222C2AF" w14:textId="77777777" w:rsidR="00DC53A5" w:rsidRPr="00A403B8" w:rsidRDefault="00DC53A5" w:rsidP="00BB35FE">
            <w:pPr>
              <w:tabs>
                <w:tab w:val="left" w:pos="2055"/>
              </w:tabs>
              <w:jc w:val="center"/>
              <w:rPr>
                <w:rFonts w:eastAsia="Arial" w:cstheme="minorHAnsi"/>
                <w:color w:val="2A2A2A"/>
              </w:rPr>
            </w:pPr>
            <w:r w:rsidRPr="00A403B8">
              <w:rPr>
                <w:rFonts w:eastAsia="Arial" w:cstheme="minorHAnsi"/>
                <w:color w:val="2A2A2A"/>
              </w:rPr>
              <w:t>404 (2.0)</w:t>
            </w:r>
          </w:p>
          <w:p w14:paraId="7A938B76" w14:textId="77777777" w:rsidR="00DC53A5" w:rsidRPr="00A403B8" w:rsidRDefault="00DC53A5" w:rsidP="00BB35FE">
            <w:pPr>
              <w:tabs>
                <w:tab w:val="left" w:pos="2055"/>
              </w:tabs>
              <w:jc w:val="center"/>
              <w:rPr>
                <w:rFonts w:eastAsia="Arial" w:cstheme="minorHAnsi"/>
                <w:color w:val="2A2A2A"/>
              </w:rPr>
            </w:pPr>
            <w:r w:rsidRPr="00A403B8">
              <w:rPr>
                <w:rFonts w:eastAsia="Arial" w:cstheme="minorHAnsi"/>
                <w:color w:val="2A2A2A"/>
              </w:rPr>
              <w:t>48 (0.2)</w:t>
            </w:r>
          </w:p>
          <w:p w14:paraId="095A308C" w14:textId="77777777" w:rsidR="00DC53A5" w:rsidRPr="00A403B8" w:rsidRDefault="00DC53A5" w:rsidP="00BB35FE">
            <w:pPr>
              <w:tabs>
                <w:tab w:val="left" w:pos="2055"/>
              </w:tabs>
              <w:jc w:val="center"/>
              <w:rPr>
                <w:rFonts w:eastAsia="Arial" w:cstheme="minorHAnsi"/>
                <w:color w:val="2A2A2A"/>
              </w:rPr>
            </w:pPr>
            <w:r w:rsidRPr="00A403B8">
              <w:rPr>
                <w:rFonts w:eastAsia="Arial" w:cstheme="minorHAnsi"/>
                <w:color w:val="2A2A2A"/>
              </w:rPr>
              <w:t>&lt; 5</w:t>
            </w:r>
          </w:p>
        </w:tc>
        <w:tc>
          <w:tcPr>
            <w:tcW w:w="3006" w:type="dxa"/>
            <w:vAlign w:val="center"/>
          </w:tcPr>
          <w:p w14:paraId="640515F1" w14:textId="77777777" w:rsidR="00DC53A5" w:rsidRPr="00A403B8" w:rsidRDefault="00DC53A5" w:rsidP="00BB35FE">
            <w:pPr>
              <w:tabs>
                <w:tab w:val="left" w:pos="2055"/>
              </w:tabs>
              <w:jc w:val="center"/>
              <w:rPr>
                <w:rFonts w:eastAsia="Arial" w:cstheme="minorHAnsi"/>
                <w:color w:val="2A2A2A"/>
              </w:rPr>
            </w:pPr>
            <w:r w:rsidRPr="00A403B8">
              <w:rPr>
                <w:rFonts w:eastAsia="Arial" w:cstheme="minorHAnsi"/>
                <w:color w:val="2A2A2A"/>
              </w:rPr>
              <w:t>8960 (85.7)</w:t>
            </w:r>
          </w:p>
          <w:p w14:paraId="3227A966" w14:textId="77777777" w:rsidR="00DC53A5" w:rsidRPr="00A403B8" w:rsidRDefault="00DC53A5" w:rsidP="00BB35FE">
            <w:pPr>
              <w:tabs>
                <w:tab w:val="left" w:pos="2055"/>
              </w:tabs>
              <w:jc w:val="center"/>
              <w:rPr>
                <w:rFonts w:eastAsia="Arial" w:cstheme="minorHAnsi"/>
                <w:color w:val="2A2A2A"/>
              </w:rPr>
            </w:pPr>
            <w:r w:rsidRPr="00A403B8">
              <w:rPr>
                <w:rFonts w:eastAsia="Arial" w:cstheme="minorHAnsi"/>
                <w:color w:val="2A2A2A"/>
              </w:rPr>
              <w:t>1254 (12.0)</w:t>
            </w:r>
          </w:p>
          <w:p w14:paraId="369A88A5" w14:textId="77777777" w:rsidR="00DC53A5" w:rsidRPr="00A403B8" w:rsidRDefault="00DC53A5" w:rsidP="00BB35FE">
            <w:pPr>
              <w:tabs>
                <w:tab w:val="left" w:pos="2055"/>
              </w:tabs>
              <w:jc w:val="center"/>
              <w:rPr>
                <w:rFonts w:eastAsia="Arial" w:cstheme="minorHAnsi"/>
                <w:color w:val="2A2A2A"/>
              </w:rPr>
            </w:pPr>
            <w:r w:rsidRPr="00A403B8">
              <w:rPr>
                <w:rFonts w:eastAsia="Arial" w:cstheme="minorHAnsi"/>
                <w:color w:val="2A2A2A"/>
              </w:rPr>
              <w:t>200 (1.9)</w:t>
            </w:r>
          </w:p>
          <w:p w14:paraId="6178EC91" w14:textId="77777777" w:rsidR="00DC53A5" w:rsidRPr="00A403B8" w:rsidRDefault="00DC53A5" w:rsidP="00BB35FE">
            <w:pPr>
              <w:tabs>
                <w:tab w:val="left" w:pos="2055"/>
              </w:tabs>
              <w:jc w:val="center"/>
              <w:rPr>
                <w:rFonts w:eastAsia="Arial" w:cstheme="minorHAnsi"/>
                <w:color w:val="2A2A2A"/>
              </w:rPr>
            </w:pPr>
            <w:r w:rsidRPr="00A403B8">
              <w:rPr>
                <w:rFonts w:eastAsia="Arial" w:cstheme="minorHAnsi"/>
                <w:color w:val="2A2A2A"/>
              </w:rPr>
              <w:t>35 (0.3)</w:t>
            </w:r>
          </w:p>
          <w:p w14:paraId="77187394" w14:textId="77777777" w:rsidR="00DC53A5" w:rsidRPr="00A403B8" w:rsidRDefault="00DC53A5" w:rsidP="00BB35FE">
            <w:pPr>
              <w:tabs>
                <w:tab w:val="left" w:pos="2055"/>
              </w:tabs>
              <w:jc w:val="center"/>
              <w:rPr>
                <w:rFonts w:eastAsia="Arial" w:cstheme="minorHAnsi"/>
                <w:color w:val="2A2A2A"/>
              </w:rPr>
            </w:pPr>
            <w:r w:rsidRPr="00A403B8">
              <w:rPr>
                <w:rFonts w:eastAsia="Arial" w:cstheme="minorHAnsi"/>
                <w:color w:val="2A2A2A"/>
              </w:rPr>
              <w:t>&lt; 5</w:t>
            </w:r>
          </w:p>
        </w:tc>
      </w:tr>
    </w:tbl>
    <w:p w14:paraId="0A92CD80" w14:textId="77777777" w:rsidR="00DC53A5" w:rsidRPr="00A403B8" w:rsidRDefault="00DC53A5" w:rsidP="00DC53A5">
      <w:pPr>
        <w:tabs>
          <w:tab w:val="left" w:pos="2055"/>
        </w:tabs>
        <w:jc w:val="both"/>
        <w:rPr>
          <w:rFonts w:eastAsia="Arial" w:cstheme="minorHAnsi"/>
          <w:color w:val="2A2A2A"/>
        </w:rPr>
      </w:pPr>
    </w:p>
    <w:p w14:paraId="3CE24CD1" w14:textId="59DAF955" w:rsidR="00DC53A5" w:rsidRPr="00A403B8" w:rsidRDefault="00DC53A5" w:rsidP="00A403B8">
      <w:pPr>
        <w:pStyle w:val="Heading4"/>
        <w:rPr>
          <w:rFonts w:eastAsia="Arial"/>
        </w:rPr>
      </w:pPr>
      <w:bookmarkStart w:id="184" w:name="_Toc128330087"/>
      <w:r w:rsidRPr="00A403B8">
        <w:rPr>
          <w:rFonts w:eastAsia="Arial"/>
        </w:rPr>
        <w:t>1</w:t>
      </w:r>
      <w:r w:rsidR="00A403B8">
        <w:rPr>
          <w:rFonts w:eastAsia="Arial"/>
        </w:rPr>
        <w:t>1</w:t>
      </w:r>
      <w:r w:rsidRPr="00A403B8">
        <w:rPr>
          <w:rFonts w:eastAsia="Arial"/>
        </w:rPr>
        <w:t xml:space="preserve">.4.1 </w:t>
      </w:r>
      <w:r w:rsidR="009E0472">
        <w:rPr>
          <w:rFonts w:eastAsia="Arial"/>
        </w:rPr>
        <w:tab/>
      </w:r>
      <w:r w:rsidR="009E0472">
        <w:rPr>
          <w:rFonts w:eastAsia="Arial"/>
        </w:rPr>
        <w:tab/>
      </w:r>
      <w:r w:rsidRPr="00A403B8">
        <w:rPr>
          <w:rFonts w:eastAsia="Arial"/>
        </w:rPr>
        <w:t>Patient survival after repeat transplantation</w:t>
      </w:r>
      <w:bookmarkEnd w:id="184"/>
    </w:p>
    <w:p w14:paraId="50A9C097" w14:textId="627D4A7B" w:rsidR="00DC53A5" w:rsidRPr="00A403B8" w:rsidRDefault="00DC53A5" w:rsidP="00A403B8">
      <w:pPr>
        <w:tabs>
          <w:tab w:val="left" w:pos="2055"/>
        </w:tabs>
        <w:spacing w:line="276" w:lineRule="auto"/>
        <w:jc w:val="both"/>
        <w:rPr>
          <w:rFonts w:eastAsia="Arial" w:cstheme="minorHAnsi"/>
          <w:color w:val="2A2A2A"/>
          <w:highlight w:val="white"/>
        </w:rPr>
      </w:pPr>
      <w:r w:rsidRPr="00A403B8">
        <w:rPr>
          <w:rFonts w:eastAsia="Arial" w:cstheme="minorHAnsi"/>
          <w:color w:val="2A2A2A"/>
          <w:highlight w:val="white"/>
        </w:rPr>
        <w:t>Using data from the Austrian Dialysis and Transplant Registry supplemented by Eurotransplant data</w:t>
      </w:r>
      <w:r w:rsidR="004B39C6">
        <w:rPr>
          <w:rFonts w:eastAsia="Arial" w:cstheme="minorHAnsi"/>
          <w:color w:val="2A2A2A"/>
        </w:rPr>
        <w:t>,</w:t>
      </w:r>
      <w:r w:rsidRPr="00A403B8">
        <w:rPr>
          <w:rFonts w:eastAsia="Arial" w:cstheme="minorHAnsi"/>
          <w:color w:val="2A2A2A"/>
        </w:rPr>
        <w:t xml:space="preserve"> Kainz </w:t>
      </w:r>
      <w:r w:rsidRPr="00A403B8">
        <w:rPr>
          <w:rFonts w:eastAsia="Arial" w:cstheme="minorHAnsi"/>
          <w:i/>
          <w:iCs/>
          <w:color w:val="2A2A2A"/>
        </w:rPr>
        <w:t>et al</w:t>
      </w:r>
      <w:r w:rsidRPr="00A403B8">
        <w:rPr>
          <w:rFonts w:eastAsia="Arial" w:cstheme="minorHAnsi"/>
          <w:color w:val="2A2A2A"/>
        </w:rPr>
        <w:t xml:space="preserve"> used </w:t>
      </w:r>
      <w:r w:rsidRPr="00A403B8">
        <w:rPr>
          <w:rFonts w:eastAsia="Arial" w:cstheme="minorHAnsi"/>
          <w:color w:val="2A2A2A"/>
          <w:highlight w:val="white"/>
        </w:rPr>
        <w:t xml:space="preserve">target trial emulation to compare the difference in restricted mean survival time (RMST) between </w:t>
      </w:r>
      <w:r w:rsidR="004B39C6">
        <w:rPr>
          <w:rFonts w:eastAsia="Arial" w:cstheme="minorHAnsi"/>
          <w:color w:val="2A2A2A"/>
          <w:highlight w:val="white"/>
        </w:rPr>
        <w:t xml:space="preserve">a </w:t>
      </w:r>
      <w:r w:rsidRPr="00A403B8">
        <w:rPr>
          <w:rFonts w:eastAsia="Arial" w:cstheme="minorHAnsi"/>
          <w:color w:val="2A2A2A"/>
          <w:highlight w:val="white"/>
        </w:rPr>
        <w:t>second kidney transplant and remaining on the waiting list after a first failed transplant</w:t>
      </w:r>
      <w:r w:rsidRPr="00A403B8">
        <w:rPr>
          <w:rFonts w:eastAsia="Arial" w:cstheme="minorHAnsi"/>
          <w:color w:val="2A2A2A"/>
          <w:highlight w:val="white"/>
          <w:vertAlign w:val="superscript"/>
        </w:rPr>
        <w:t>11</w:t>
      </w:r>
      <w:r w:rsidRPr="00A403B8">
        <w:rPr>
          <w:rFonts w:eastAsia="Arial" w:cstheme="minorHAnsi"/>
          <w:color w:val="2A2A2A"/>
          <w:highlight w:val="white"/>
        </w:rPr>
        <w:t xml:space="preserve">. Difference in RMST indicates gain or loss in the event-free survival time due to retransplant or waitlisted but not transplanted during the studied time. Those receiving a second transplant had a longer RMST of 1.6 (95% CI, 0.3 to 2.9) months at 5 years </w:t>
      </w:r>
      <w:r w:rsidR="004B39C6">
        <w:rPr>
          <w:rFonts w:eastAsia="Arial" w:cstheme="minorHAnsi"/>
          <w:color w:val="2A2A2A"/>
          <w:highlight w:val="white"/>
        </w:rPr>
        <w:t>follow-up</w:t>
      </w:r>
      <w:r w:rsidRPr="00A403B8">
        <w:rPr>
          <w:rFonts w:eastAsia="Arial" w:cstheme="minorHAnsi"/>
          <w:color w:val="2A2A2A"/>
          <w:highlight w:val="white"/>
        </w:rPr>
        <w:t xml:space="preserve"> and 5.8 (95% CI, 0.9 to 11.1) months over 10 years. However, this association was less in patients with longer waiting </w:t>
      </w:r>
      <w:r w:rsidR="004B39C6">
        <w:rPr>
          <w:rFonts w:eastAsia="Arial" w:cstheme="minorHAnsi"/>
          <w:color w:val="2A2A2A"/>
          <w:highlight w:val="white"/>
        </w:rPr>
        <w:t>times</w:t>
      </w:r>
      <w:r w:rsidRPr="00A403B8">
        <w:rPr>
          <w:rFonts w:eastAsia="Arial" w:cstheme="minorHAnsi"/>
          <w:color w:val="2A2A2A"/>
          <w:highlight w:val="white"/>
        </w:rPr>
        <w:t xml:space="preserve"> since </w:t>
      </w:r>
      <w:r w:rsidR="004B39C6">
        <w:rPr>
          <w:rFonts w:eastAsia="Arial" w:cstheme="minorHAnsi"/>
          <w:color w:val="2A2A2A"/>
          <w:highlight w:val="white"/>
        </w:rPr>
        <w:t xml:space="preserve">the </w:t>
      </w:r>
      <w:r w:rsidRPr="00A403B8">
        <w:rPr>
          <w:rFonts w:eastAsia="Arial" w:cstheme="minorHAnsi"/>
          <w:color w:val="2A2A2A"/>
          <w:highlight w:val="white"/>
        </w:rPr>
        <w:t>first graft loss, with no statistically significant survival difference in those waiting more than 3 years.</w:t>
      </w:r>
    </w:p>
    <w:p w14:paraId="1B4E403E" w14:textId="521ABB05" w:rsidR="00DC53A5" w:rsidRPr="00A403B8" w:rsidRDefault="00DC53A5" w:rsidP="00A403B8">
      <w:pPr>
        <w:tabs>
          <w:tab w:val="left" w:pos="2055"/>
        </w:tabs>
        <w:spacing w:line="276" w:lineRule="auto"/>
        <w:jc w:val="both"/>
        <w:rPr>
          <w:rFonts w:eastAsia="Arial" w:cstheme="minorHAnsi"/>
          <w:b/>
          <w:color w:val="2A2A2A"/>
        </w:rPr>
      </w:pPr>
      <w:r w:rsidRPr="00A403B8">
        <w:rPr>
          <w:rFonts w:eastAsia="Arial" w:cstheme="minorHAnsi"/>
          <w:color w:val="2A2A2A"/>
        </w:rPr>
        <w:t xml:space="preserve">Data regarding uncensored UK patient survival following </w:t>
      </w:r>
      <w:r w:rsidR="004B39C6">
        <w:rPr>
          <w:rFonts w:eastAsia="Arial" w:cstheme="minorHAnsi"/>
          <w:color w:val="2A2A2A"/>
        </w:rPr>
        <w:t xml:space="preserve">a </w:t>
      </w:r>
      <w:r w:rsidRPr="00A403B8">
        <w:rPr>
          <w:rFonts w:eastAsia="Arial" w:cstheme="minorHAnsi"/>
          <w:color w:val="2A2A2A"/>
        </w:rPr>
        <w:t xml:space="preserve">second kidney transplant is shown below. For survival figures in the remainder of this chapter, all </w:t>
      </w:r>
      <w:r w:rsidR="004B39C6">
        <w:rPr>
          <w:rFonts w:eastAsia="Arial" w:cstheme="minorHAnsi"/>
          <w:color w:val="2A2A2A"/>
        </w:rPr>
        <w:t>antibody-incompatible</w:t>
      </w:r>
      <w:r w:rsidRPr="00A403B8">
        <w:rPr>
          <w:rFonts w:eastAsia="Arial" w:cstheme="minorHAnsi"/>
          <w:color w:val="2A2A2A"/>
        </w:rPr>
        <w:t xml:space="preserve"> transplants are excluded from the analysis. Figure 1</w:t>
      </w:r>
      <w:r w:rsidR="00A403B8">
        <w:rPr>
          <w:rFonts w:eastAsia="Arial" w:cstheme="minorHAnsi"/>
          <w:color w:val="2A2A2A"/>
        </w:rPr>
        <w:t>1</w:t>
      </w:r>
      <w:r w:rsidRPr="00A403B8">
        <w:rPr>
          <w:rFonts w:eastAsia="Arial" w:cstheme="minorHAnsi"/>
          <w:color w:val="2A2A2A"/>
        </w:rPr>
        <w:t xml:space="preserve">.2 shows the 5-year patient survival following </w:t>
      </w:r>
      <w:r w:rsidR="004B39C6">
        <w:rPr>
          <w:rFonts w:eastAsia="Arial" w:cstheme="minorHAnsi"/>
          <w:color w:val="2A2A2A"/>
        </w:rPr>
        <w:t xml:space="preserve">the </w:t>
      </w:r>
      <w:r w:rsidRPr="00A403B8">
        <w:rPr>
          <w:rFonts w:eastAsia="Arial" w:cstheme="minorHAnsi"/>
          <w:color w:val="2A2A2A"/>
        </w:rPr>
        <w:t>2</w:t>
      </w:r>
      <w:r w:rsidRPr="00A403B8">
        <w:rPr>
          <w:rFonts w:eastAsia="Arial" w:cstheme="minorHAnsi"/>
          <w:color w:val="2A2A2A"/>
          <w:vertAlign w:val="superscript"/>
        </w:rPr>
        <w:t>nd</w:t>
      </w:r>
      <w:r w:rsidRPr="00A403B8">
        <w:rPr>
          <w:rFonts w:eastAsia="Arial" w:cstheme="minorHAnsi"/>
          <w:color w:val="2A2A2A"/>
        </w:rPr>
        <w:t xml:space="preserve"> </w:t>
      </w:r>
      <w:r w:rsidR="004B39C6">
        <w:rPr>
          <w:rFonts w:eastAsia="Arial" w:cstheme="minorHAnsi"/>
          <w:color w:val="2A2A2A"/>
        </w:rPr>
        <w:t>kidney-only</w:t>
      </w:r>
      <w:r w:rsidRPr="00A403B8">
        <w:rPr>
          <w:rFonts w:eastAsia="Arial" w:cstheme="minorHAnsi"/>
          <w:color w:val="2A2A2A"/>
        </w:rPr>
        <w:t xml:space="preserve"> transplant, including grafts </w:t>
      </w:r>
      <w:r w:rsidR="004B39C6">
        <w:rPr>
          <w:rFonts w:eastAsia="Arial" w:cstheme="minorHAnsi"/>
          <w:color w:val="2A2A2A"/>
        </w:rPr>
        <w:t xml:space="preserve">from </w:t>
      </w:r>
      <w:r w:rsidRPr="00A403B8">
        <w:rPr>
          <w:rFonts w:eastAsia="Arial" w:cstheme="minorHAnsi"/>
          <w:color w:val="2A2A2A"/>
        </w:rPr>
        <w:t xml:space="preserve">January 2010 to December 2016.  There does not appear to be any marked </w:t>
      </w:r>
      <w:r w:rsidRPr="00A403B8">
        <w:rPr>
          <w:rFonts w:eastAsia="Arial" w:cstheme="minorHAnsi"/>
          <w:color w:val="2A2A2A"/>
          <w:highlight w:val="white"/>
        </w:rPr>
        <w:t>perioperative signal of risk in the first few months with a relatively uniform decrease in patient survival following transplantation.</w:t>
      </w:r>
    </w:p>
    <w:p w14:paraId="240346C5" w14:textId="56EDC12C" w:rsidR="00DC53A5" w:rsidRPr="00A403B8" w:rsidRDefault="00DC53A5" w:rsidP="00A403B8">
      <w:pPr>
        <w:tabs>
          <w:tab w:val="left" w:pos="2055"/>
        </w:tabs>
        <w:spacing w:line="276" w:lineRule="auto"/>
        <w:jc w:val="both"/>
        <w:rPr>
          <w:rFonts w:eastAsia="Arial" w:cstheme="minorHAnsi"/>
          <w:color w:val="2A2A2A"/>
        </w:rPr>
      </w:pPr>
      <w:r w:rsidRPr="00A403B8">
        <w:rPr>
          <w:rFonts w:eastAsia="Arial" w:cstheme="minorHAnsi"/>
          <w:b/>
          <w:color w:val="2A2A2A"/>
        </w:rPr>
        <w:lastRenderedPageBreak/>
        <w:t>Figure 1</w:t>
      </w:r>
      <w:r w:rsidR="00A403B8">
        <w:rPr>
          <w:rFonts w:eastAsia="Arial" w:cstheme="minorHAnsi"/>
          <w:b/>
          <w:color w:val="2A2A2A"/>
        </w:rPr>
        <w:t>1</w:t>
      </w:r>
      <w:r w:rsidRPr="00A403B8">
        <w:rPr>
          <w:rFonts w:eastAsia="Arial" w:cstheme="minorHAnsi"/>
          <w:b/>
          <w:color w:val="2A2A2A"/>
        </w:rPr>
        <w:t xml:space="preserve">.2 </w:t>
      </w:r>
      <w:r w:rsidRPr="00A403B8">
        <w:rPr>
          <w:rFonts w:eastAsia="Arial" w:cstheme="minorHAnsi"/>
          <w:color w:val="2A2A2A"/>
        </w:rPr>
        <w:t>Five-year patient survival for patients receiving a 2</w:t>
      </w:r>
      <w:r w:rsidRPr="00A403B8">
        <w:rPr>
          <w:rFonts w:eastAsia="Arial" w:cstheme="minorHAnsi"/>
          <w:color w:val="2A2A2A"/>
          <w:vertAlign w:val="superscript"/>
        </w:rPr>
        <w:t>nd</w:t>
      </w:r>
      <w:r w:rsidRPr="00A403B8">
        <w:rPr>
          <w:rFonts w:eastAsia="Arial" w:cstheme="minorHAnsi"/>
          <w:color w:val="2A2A2A"/>
        </w:rPr>
        <w:t xml:space="preserve"> kidney only transplant, 1/1/10 – 31/12/16 by type of transplant. </w:t>
      </w:r>
      <w:r w:rsidRPr="00A403B8">
        <w:rPr>
          <w:rFonts w:cstheme="minorHAnsi"/>
          <w:noProof/>
        </w:rPr>
        <w:drawing>
          <wp:anchor distT="114300" distB="114300" distL="114300" distR="114300" simplePos="0" relativeHeight="251659264" behindDoc="0" locked="0" layoutInCell="1" hidden="0" allowOverlap="1" wp14:anchorId="5D2C6454" wp14:editId="0B11BFA3">
            <wp:simplePos x="0" y="0"/>
            <wp:positionH relativeFrom="column">
              <wp:posOffset>1</wp:posOffset>
            </wp:positionH>
            <wp:positionV relativeFrom="paragraph">
              <wp:posOffset>542925</wp:posOffset>
            </wp:positionV>
            <wp:extent cx="3519488" cy="3519488"/>
            <wp:effectExtent l="0" t="0" r="0" b="0"/>
            <wp:wrapTopAndBottom distT="114300" distB="114300"/>
            <wp:docPr id="8" name="image4.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Chart&#10;&#10;Description automatically generated"/>
                    <pic:cNvPicPr preferRelativeResize="0"/>
                  </pic:nvPicPr>
                  <pic:blipFill>
                    <a:blip r:embed="rId72"/>
                    <a:srcRect/>
                    <a:stretch>
                      <a:fillRect/>
                    </a:stretch>
                  </pic:blipFill>
                  <pic:spPr>
                    <a:xfrm>
                      <a:off x="0" y="0"/>
                      <a:ext cx="3519488" cy="3519488"/>
                    </a:xfrm>
                    <a:prstGeom prst="rect">
                      <a:avLst/>
                    </a:prstGeom>
                    <a:ln/>
                  </pic:spPr>
                </pic:pic>
              </a:graphicData>
            </a:graphic>
          </wp:anchor>
        </w:drawing>
      </w:r>
    </w:p>
    <w:p w14:paraId="2CBEA88B" w14:textId="3291DDDF" w:rsidR="00DC53A5" w:rsidRPr="00A403B8" w:rsidRDefault="00DC53A5" w:rsidP="00A403B8">
      <w:pPr>
        <w:tabs>
          <w:tab w:val="left" w:pos="2055"/>
        </w:tabs>
        <w:spacing w:line="276" w:lineRule="auto"/>
        <w:jc w:val="both"/>
        <w:rPr>
          <w:rFonts w:eastAsia="Arial" w:cstheme="minorHAnsi"/>
          <w:color w:val="2A2A2A"/>
        </w:rPr>
      </w:pPr>
      <w:r w:rsidRPr="00A403B8">
        <w:rPr>
          <w:rFonts w:eastAsia="Arial" w:cstheme="minorHAnsi"/>
          <w:color w:val="2A2A2A"/>
        </w:rPr>
        <w:t>The survival estimates at 5 years split by donor type are shown in Table 1</w:t>
      </w:r>
      <w:r w:rsidR="00A403B8">
        <w:rPr>
          <w:rFonts w:eastAsia="Arial" w:cstheme="minorHAnsi"/>
          <w:color w:val="2A2A2A"/>
        </w:rPr>
        <w:t>1</w:t>
      </w:r>
      <w:r w:rsidRPr="00A403B8">
        <w:rPr>
          <w:rFonts w:eastAsia="Arial" w:cstheme="minorHAnsi"/>
          <w:color w:val="2A2A2A"/>
        </w:rPr>
        <w:t>.12 and the data shows evidence of a difference between donor types (p=0.04, 3df log-rank test). Patients are censored if they received a 3</w:t>
      </w:r>
      <w:r w:rsidRPr="00A403B8">
        <w:rPr>
          <w:rFonts w:eastAsia="Arial" w:cstheme="minorHAnsi"/>
          <w:color w:val="2A2A2A"/>
          <w:vertAlign w:val="superscript"/>
        </w:rPr>
        <w:t>rd</w:t>
      </w:r>
      <w:r w:rsidRPr="00A403B8">
        <w:rPr>
          <w:rFonts w:eastAsia="Arial" w:cstheme="minorHAnsi"/>
          <w:color w:val="2A2A2A"/>
        </w:rPr>
        <w:t xml:space="preserve"> transplant.</w:t>
      </w:r>
    </w:p>
    <w:p w14:paraId="2954A015" w14:textId="263E80EE" w:rsidR="00DC53A5" w:rsidRPr="00A403B8" w:rsidRDefault="00DC53A5" w:rsidP="00A403B8">
      <w:pPr>
        <w:tabs>
          <w:tab w:val="left" w:pos="2055"/>
        </w:tabs>
        <w:spacing w:line="276" w:lineRule="auto"/>
        <w:jc w:val="both"/>
        <w:rPr>
          <w:rFonts w:eastAsia="Arial" w:cstheme="minorHAnsi"/>
          <w:b/>
          <w:color w:val="2A2A2A"/>
        </w:rPr>
      </w:pPr>
      <w:r w:rsidRPr="00A403B8">
        <w:rPr>
          <w:rFonts w:eastAsia="Arial" w:cstheme="minorHAnsi"/>
          <w:b/>
          <w:color w:val="2A2A2A"/>
        </w:rPr>
        <w:t>Table 1</w:t>
      </w:r>
      <w:r w:rsidR="00A403B8">
        <w:rPr>
          <w:rFonts w:eastAsia="Arial" w:cstheme="minorHAnsi"/>
          <w:b/>
          <w:color w:val="2A2A2A"/>
        </w:rPr>
        <w:t>1</w:t>
      </w:r>
      <w:r w:rsidRPr="00A403B8">
        <w:rPr>
          <w:rFonts w:eastAsia="Arial" w:cstheme="minorHAnsi"/>
          <w:b/>
          <w:color w:val="2A2A2A"/>
        </w:rPr>
        <w:t xml:space="preserve">.12 – </w:t>
      </w:r>
      <w:r w:rsidRPr="00A403B8">
        <w:rPr>
          <w:rFonts w:eastAsia="Arial" w:cstheme="minorHAnsi"/>
          <w:color w:val="2A2A2A"/>
        </w:rPr>
        <w:t>Five-year patient survival estimates following 2</w:t>
      </w:r>
      <w:r w:rsidRPr="00A403B8">
        <w:rPr>
          <w:rFonts w:eastAsia="Arial" w:cstheme="minorHAnsi"/>
          <w:color w:val="2A2A2A"/>
          <w:vertAlign w:val="superscript"/>
        </w:rPr>
        <w:t>nd</w:t>
      </w:r>
      <w:r w:rsidRPr="00A403B8">
        <w:rPr>
          <w:rFonts w:eastAsia="Arial" w:cstheme="minorHAnsi"/>
          <w:color w:val="2A2A2A"/>
        </w:rPr>
        <w:t xml:space="preserve"> kidney</w:t>
      </w:r>
      <w:r w:rsidR="00E95399">
        <w:rPr>
          <w:rFonts w:eastAsia="Arial" w:cstheme="minorHAnsi"/>
          <w:color w:val="2A2A2A"/>
        </w:rPr>
        <w:t>-</w:t>
      </w:r>
      <w:r w:rsidRPr="00A403B8">
        <w:rPr>
          <w:rFonts w:eastAsia="Arial" w:cstheme="minorHAnsi"/>
          <w:color w:val="2A2A2A"/>
        </w:rPr>
        <w:t>only transplant, transplants occurring between 1/1/10 – 31/12/16</w:t>
      </w:r>
    </w:p>
    <w:tbl>
      <w:tblPr>
        <w:tblW w:w="918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3060"/>
        <w:gridCol w:w="3060"/>
        <w:gridCol w:w="3060"/>
      </w:tblGrid>
      <w:tr w:rsidR="00DC53A5" w:rsidRPr="00A403B8" w14:paraId="48FFE851" w14:textId="77777777" w:rsidTr="00BB35FE">
        <w:trPr>
          <w:trHeight w:val="333"/>
        </w:trPr>
        <w:tc>
          <w:tcPr>
            <w:tcW w:w="3060" w:type="dxa"/>
            <w:tcBorders>
              <w:top w:val="single" w:sz="6" w:space="0" w:color="000000"/>
              <w:left w:val="single" w:sz="6" w:space="0" w:color="000000"/>
              <w:bottom w:val="single" w:sz="4" w:space="0" w:color="auto"/>
              <w:right w:val="single" w:sz="4" w:space="0" w:color="auto"/>
            </w:tcBorders>
            <w:tcMar>
              <w:top w:w="0" w:type="dxa"/>
              <w:left w:w="0" w:type="dxa"/>
              <w:bottom w:w="0" w:type="dxa"/>
              <w:right w:w="0" w:type="dxa"/>
            </w:tcMar>
          </w:tcPr>
          <w:p w14:paraId="2E8E1953" w14:textId="77777777" w:rsidR="00DC53A5" w:rsidRPr="00A403B8" w:rsidRDefault="00DC53A5" w:rsidP="00BB35FE">
            <w:pPr>
              <w:tabs>
                <w:tab w:val="left" w:pos="2055"/>
              </w:tabs>
              <w:spacing w:after="0"/>
              <w:jc w:val="center"/>
              <w:rPr>
                <w:rFonts w:eastAsia="Arial" w:cstheme="minorHAnsi"/>
                <w:b/>
                <w:color w:val="2A2A2A"/>
              </w:rPr>
            </w:pPr>
            <w:r w:rsidRPr="00A403B8">
              <w:rPr>
                <w:rFonts w:eastAsia="Arial" w:cstheme="minorHAnsi"/>
                <w:b/>
                <w:color w:val="2A2A2A"/>
              </w:rPr>
              <w:t>Donor Types</w:t>
            </w:r>
          </w:p>
        </w:tc>
        <w:tc>
          <w:tcPr>
            <w:tcW w:w="3060" w:type="dxa"/>
            <w:tcBorders>
              <w:top w:val="single" w:sz="6" w:space="0" w:color="000000"/>
              <w:left w:val="single" w:sz="4" w:space="0" w:color="auto"/>
              <w:bottom w:val="single" w:sz="4" w:space="0" w:color="auto"/>
              <w:right w:val="single" w:sz="4" w:space="0" w:color="auto"/>
            </w:tcBorders>
            <w:tcMar>
              <w:top w:w="0" w:type="dxa"/>
              <w:left w:w="0" w:type="dxa"/>
              <w:bottom w:w="0" w:type="dxa"/>
              <w:right w:w="0" w:type="dxa"/>
            </w:tcMar>
          </w:tcPr>
          <w:p w14:paraId="1C6E5ADF" w14:textId="77777777" w:rsidR="00DC53A5" w:rsidRPr="00A403B8" w:rsidRDefault="00DC53A5" w:rsidP="00BB35FE">
            <w:pPr>
              <w:tabs>
                <w:tab w:val="left" w:pos="2055"/>
              </w:tabs>
              <w:spacing w:after="0"/>
              <w:jc w:val="center"/>
              <w:rPr>
                <w:rFonts w:eastAsia="Arial" w:cstheme="minorHAnsi"/>
                <w:b/>
                <w:color w:val="2A2A2A"/>
              </w:rPr>
            </w:pPr>
            <w:r w:rsidRPr="00A403B8">
              <w:rPr>
                <w:rFonts w:eastAsia="Arial" w:cstheme="minorHAnsi"/>
                <w:b/>
                <w:color w:val="2A2A2A"/>
              </w:rPr>
              <w:t>% Patient Survival (%)</w:t>
            </w:r>
          </w:p>
        </w:tc>
        <w:tc>
          <w:tcPr>
            <w:tcW w:w="3060" w:type="dxa"/>
            <w:tcBorders>
              <w:top w:val="single" w:sz="6" w:space="0" w:color="000000"/>
              <w:left w:val="single" w:sz="4" w:space="0" w:color="auto"/>
              <w:bottom w:val="single" w:sz="4" w:space="0" w:color="auto"/>
              <w:right w:val="single" w:sz="6" w:space="0" w:color="000000"/>
            </w:tcBorders>
            <w:tcMar>
              <w:top w:w="0" w:type="dxa"/>
              <w:left w:w="0" w:type="dxa"/>
              <w:bottom w:w="0" w:type="dxa"/>
              <w:right w:w="0" w:type="dxa"/>
            </w:tcMar>
          </w:tcPr>
          <w:p w14:paraId="50A0EF0F" w14:textId="77777777" w:rsidR="00DC53A5" w:rsidRPr="00A403B8" w:rsidRDefault="00DC53A5" w:rsidP="00BB35FE">
            <w:pPr>
              <w:tabs>
                <w:tab w:val="left" w:pos="2055"/>
              </w:tabs>
              <w:spacing w:after="0"/>
              <w:jc w:val="center"/>
              <w:rPr>
                <w:rFonts w:eastAsia="Arial" w:cstheme="minorHAnsi"/>
                <w:b/>
                <w:color w:val="2A2A2A"/>
              </w:rPr>
            </w:pPr>
            <w:r w:rsidRPr="00A403B8">
              <w:rPr>
                <w:rFonts w:eastAsia="Arial" w:cstheme="minorHAnsi"/>
                <w:b/>
                <w:color w:val="2A2A2A"/>
              </w:rPr>
              <w:t>95% CI</w:t>
            </w:r>
          </w:p>
        </w:tc>
      </w:tr>
      <w:tr w:rsidR="00DC53A5" w:rsidRPr="00A403B8" w14:paraId="7049668E" w14:textId="77777777" w:rsidTr="00BB35FE">
        <w:trPr>
          <w:trHeight w:val="333"/>
        </w:trPr>
        <w:tc>
          <w:tcPr>
            <w:tcW w:w="3060" w:type="dxa"/>
            <w:tcBorders>
              <w:top w:val="single" w:sz="4" w:space="0" w:color="auto"/>
              <w:left w:val="single" w:sz="6" w:space="0" w:color="000000"/>
              <w:bottom w:val="nil"/>
              <w:right w:val="single" w:sz="4" w:space="0" w:color="auto"/>
            </w:tcBorders>
            <w:tcMar>
              <w:top w:w="0" w:type="dxa"/>
              <w:left w:w="0" w:type="dxa"/>
              <w:bottom w:w="0" w:type="dxa"/>
              <w:right w:w="0" w:type="dxa"/>
            </w:tcMar>
            <w:vAlign w:val="center"/>
          </w:tcPr>
          <w:p w14:paraId="1C804B69" w14:textId="77777777" w:rsidR="00DC53A5" w:rsidRPr="00A403B8" w:rsidRDefault="00DC53A5" w:rsidP="00BB35FE">
            <w:pPr>
              <w:tabs>
                <w:tab w:val="left" w:pos="2055"/>
              </w:tabs>
              <w:spacing w:after="0"/>
              <w:jc w:val="center"/>
              <w:rPr>
                <w:rFonts w:eastAsia="Arial" w:cstheme="minorHAnsi"/>
                <w:bCs/>
                <w:color w:val="2A2A2A"/>
              </w:rPr>
            </w:pPr>
            <w:r w:rsidRPr="00A403B8">
              <w:rPr>
                <w:rFonts w:eastAsia="Arial" w:cstheme="minorHAnsi"/>
                <w:bCs/>
                <w:color w:val="2A2A2A"/>
              </w:rPr>
              <w:t>DD then DD</w:t>
            </w:r>
          </w:p>
        </w:tc>
        <w:tc>
          <w:tcPr>
            <w:tcW w:w="3060" w:type="dxa"/>
            <w:tcBorders>
              <w:top w:val="single" w:sz="4" w:space="0" w:color="auto"/>
              <w:left w:val="single" w:sz="4" w:space="0" w:color="auto"/>
              <w:bottom w:val="nil"/>
              <w:right w:val="single" w:sz="4" w:space="0" w:color="auto"/>
            </w:tcBorders>
            <w:tcMar>
              <w:top w:w="0" w:type="dxa"/>
              <w:left w:w="0" w:type="dxa"/>
              <w:bottom w:w="0" w:type="dxa"/>
              <w:right w:w="0" w:type="dxa"/>
            </w:tcMar>
            <w:vAlign w:val="center"/>
          </w:tcPr>
          <w:p w14:paraId="00D9C8C6" w14:textId="77777777" w:rsidR="00DC53A5" w:rsidRPr="00A403B8" w:rsidRDefault="00DC53A5" w:rsidP="00BB35FE">
            <w:pPr>
              <w:tabs>
                <w:tab w:val="left" w:pos="2055"/>
              </w:tabs>
              <w:spacing w:after="0"/>
              <w:jc w:val="center"/>
              <w:rPr>
                <w:rFonts w:eastAsia="Arial" w:cstheme="minorHAnsi"/>
                <w:bCs/>
                <w:color w:val="2A2A2A"/>
              </w:rPr>
            </w:pPr>
            <w:r w:rsidRPr="00A403B8">
              <w:rPr>
                <w:rFonts w:eastAsia="Arial" w:cstheme="minorHAnsi"/>
                <w:bCs/>
                <w:color w:val="2A2A2A"/>
              </w:rPr>
              <w:t>90</w:t>
            </w:r>
          </w:p>
        </w:tc>
        <w:tc>
          <w:tcPr>
            <w:tcW w:w="3060" w:type="dxa"/>
            <w:tcBorders>
              <w:top w:val="single" w:sz="4" w:space="0" w:color="auto"/>
              <w:left w:val="single" w:sz="4" w:space="0" w:color="auto"/>
              <w:bottom w:val="nil"/>
              <w:right w:val="single" w:sz="6" w:space="0" w:color="000000"/>
            </w:tcBorders>
            <w:tcMar>
              <w:top w:w="0" w:type="dxa"/>
              <w:left w:w="0" w:type="dxa"/>
              <w:bottom w:w="0" w:type="dxa"/>
              <w:right w:w="0" w:type="dxa"/>
            </w:tcMar>
            <w:vAlign w:val="center"/>
          </w:tcPr>
          <w:p w14:paraId="3DF80E4D" w14:textId="77777777" w:rsidR="00DC53A5" w:rsidRPr="00A403B8" w:rsidRDefault="00DC53A5" w:rsidP="00BB35FE">
            <w:pPr>
              <w:tabs>
                <w:tab w:val="left" w:pos="2055"/>
              </w:tabs>
              <w:spacing w:after="0"/>
              <w:jc w:val="center"/>
              <w:rPr>
                <w:rFonts w:eastAsia="Arial" w:cstheme="minorHAnsi"/>
                <w:bCs/>
                <w:color w:val="2A2A2A"/>
              </w:rPr>
            </w:pPr>
            <w:r w:rsidRPr="00A403B8">
              <w:rPr>
                <w:rFonts w:eastAsia="Arial" w:cstheme="minorHAnsi"/>
                <w:bCs/>
                <w:color w:val="2A2A2A"/>
              </w:rPr>
              <w:t>(88 - 91)</w:t>
            </w:r>
          </w:p>
        </w:tc>
      </w:tr>
      <w:tr w:rsidR="00DC53A5" w:rsidRPr="00A403B8" w14:paraId="2C03FEA2" w14:textId="77777777" w:rsidTr="00BB35FE">
        <w:trPr>
          <w:trHeight w:val="333"/>
        </w:trPr>
        <w:tc>
          <w:tcPr>
            <w:tcW w:w="3060" w:type="dxa"/>
            <w:tcBorders>
              <w:top w:val="nil"/>
              <w:left w:val="single" w:sz="6" w:space="0" w:color="000000"/>
              <w:bottom w:val="nil"/>
              <w:right w:val="single" w:sz="4" w:space="0" w:color="auto"/>
            </w:tcBorders>
            <w:tcMar>
              <w:top w:w="0" w:type="dxa"/>
              <w:left w:w="0" w:type="dxa"/>
              <w:bottom w:w="0" w:type="dxa"/>
              <w:right w:w="0" w:type="dxa"/>
            </w:tcMar>
            <w:vAlign w:val="center"/>
          </w:tcPr>
          <w:p w14:paraId="4AF03EEF" w14:textId="77777777" w:rsidR="00DC53A5" w:rsidRPr="00A403B8" w:rsidRDefault="00DC53A5" w:rsidP="00BB35FE">
            <w:pPr>
              <w:tabs>
                <w:tab w:val="left" w:pos="2055"/>
              </w:tabs>
              <w:spacing w:after="0"/>
              <w:jc w:val="center"/>
              <w:rPr>
                <w:rFonts w:eastAsia="Arial" w:cstheme="minorHAnsi"/>
                <w:bCs/>
                <w:color w:val="2A2A2A"/>
              </w:rPr>
            </w:pPr>
            <w:r w:rsidRPr="00A403B8">
              <w:rPr>
                <w:rFonts w:eastAsia="Arial" w:cstheme="minorHAnsi"/>
                <w:bCs/>
                <w:color w:val="2A2A2A"/>
              </w:rPr>
              <w:t>DD then LD</w:t>
            </w:r>
          </w:p>
        </w:tc>
        <w:tc>
          <w:tcPr>
            <w:tcW w:w="3060" w:type="dxa"/>
            <w:tcBorders>
              <w:top w:val="nil"/>
              <w:left w:val="single" w:sz="4" w:space="0" w:color="auto"/>
              <w:bottom w:val="nil"/>
              <w:right w:val="single" w:sz="4" w:space="0" w:color="auto"/>
            </w:tcBorders>
            <w:tcMar>
              <w:top w:w="0" w:type="dxa"/>
              <w:left w:w="0" w:type="dxa"/>
              <w:bottom w:w="0" w:type="dxa"/>
              <w:right w:w="0" w:type="dxa"/>
            </w:tcMar>
            <w:vAlign w:val="center"/>
          </w:tcPr>
          <w:p w14:paraId="7DAB3FA5" w14:textId="77777777" w:rsidR="00DC53A5" w:rsidRPr="00A403B8" w:rsidRDefault="00DC53A5" w:rsidP="00BB35FE">
            <w:pPr>
              <w:tabs>
                <w:tab w:val="left" w:pos="2055"/>
              </w:tabs>
              <w:spacing w:after="0"/>
              <w:jc w:val="center"/>
              <w:rPr>
                <w:rFonts w:eastAsia="Arial" w:cstheme="minorHAnsi"/>
                <w:bCs/>
                <w:color w:val="2A2A2A"/>
              </w:rPr>
            </w:pPr>
            <w:r w:rsidRPr="00A403B8">
              <w:rPr>
                <w:rFonts w:eastAsia="Arial" w:cstheme="minorHAnsi"/>
                <w:bCs/>
                <w:color w:val="2A2A2A"/>
              </w:rPr>
              <w:t>93</w:t>
            </w:r>
          </w:p>
        </w:tc>
        <w:tc>
          <w:tcPr>
            <w:tcW w:w="3060" w:type="dxa"/>
            <w:tcBorders>
              <w:top w:val="nil"/>
              <w:left w:val="single" w:sz="4" w:space="0" w:color="auto"/>
              <w:bottom w:val="nil"/>
              <w:right w:val="single" w:sz="6" w:space="0" w:color="000000"/>
            </w:tcBorders>
            <w:tcMar>
              <w:top w:w="0" w:type="dxa"/>
              <w:left w:w="0" w:type="dxa"/>
              <w:bottom w:w="0" w:type="dxa"/>
              <w:right w:w="0" w:type="dxa"/>
            </w:tcMar>
            <w:vAlign w:val="center"/>
          </w:tcPr>
          <w:p w14:paraId="2DB5A191" w14:textId="77777777" w:rsidR="00DC53A5" w:rsidRPr="00A403B8" w:rsidRDefault="00DC53A5" w:rsidP="00BB35FE">
            <w:pPr>
              <w:tabs>
                <w:tab w:val="left" w:pos="2055"/>
              </w:tabs>
              <w:spacing w:after="0"/>
              <w:jc w:val="center"/>
              <w:rPr>
                <w:rFonts w:eastAsia="Arial" w:cstheme="minorHAnsi"/>
                <w:bCs/>
                <w:color w:val="2A2A2A"/>
              </w:rPr>
            </w:pPr>
            <w:r w:rsidRPr="00A403B8">
              <w:rPr>
                <w:rFonts w:eastAsia="Arial" w:cstheme="minorHAnsi"/>
                <w:bCs/>
                <w:color w:val="2A2A2A"/>
              </w:rPr>
              <w:t>(90 - 95)</w:t>
            </w:r>
          </w:p>
        </w:tc>
      </w:tr>
      <w:tr w:rsidR="00DC53A5" w:rsidRPr="00A403B8" w14:paraId="7EDEB679" w14:textId="77777777" w:rsidTr="00BB35FE">
        <w:trPr>
          <w:trHeight w:val="333"/>
        </w:trPr>
        <w:tc>
          <w:tcPr>
            <w:tcW w:w="3060" w:type="dxa"/>
            <w:tcBorders>
              <w:top w:val="nil"/>
              <w:left w:val="single" w:sz="6" w:space="0" w:color="000000"/>
              <w:bottom w:val="nil"/>
              <w:right w:val="single" w:sz="4" w:space="0" w:color="auto"/>
            </w:tcBorders>
            <w:tcMar>
              <w:top w:w="0" w:type="dxa"/>
              <w:left w:w="0" w:type="dxa"/>
              <w:bottom w:w="0" w:type="dxa"/>
              <w:right w:w="0" w:type="dxa"/>
            </w:tcMar>
            <w:vAlign w:val="center"/>
          </w:tcPr>
          <w:p w14:paraId="304C6737" w14:textId="77777777" w:rsidR="00DC53A5" w:rsidRPr="00A403B8" w:rsidRDefault="00DC53A5" w:rsidP="00BB35FE">
            <w:pPr>
              <w:tabs>
                <w:tab w:val="left" w:pos="2055"/>
              </w:tabs>
              <w:spacing w:after="0"/>
              <w:jc w:val="center"/>
              <w:rPr>
                <w:rFonts w:eastAsia="Arial" w:cstheme="minorHAnsi"/>
                <w:bCs/>
                <w:color w:val="2A2A2A"/>
              </w:rPr>
            </w:pPr>
            <w:r w:rsidRPr="00A403B8">
              <w:rPr>
                <w:rFonts w:eastAsia="Arial" w:cstheme="minorHAnsi"/>
                <w:bCs/>
                <w:color w:val="2A2A2A"/>
              </w:rPr>
              <w:t>LD then DD</w:t>
            </w:r>
          </w:p>
        </w:tc>
        <w:tc>
          <w:tcPr>
            <w:tcW w:w="3060" w:type="dxa"/>
            <w:tcBorders>
              <w:top w:val="nil"/>
              <w:left w:val="single" w:sz="4" w:space="0" w:color="auto"/>
              <w:bottom w:val="nil"/>
              <w:right w:val="single" w:sz="4" w:space="0" w:color="auto"/>
            </w:tcBorders>
            <w:tcMar>
              <w:top w:w="0" w:type="dxa"/>
              <w:left w:w="0" w:type="dxa"/>
              <w:bottom w:w="0" w:type="dxa"/>
              <w:right w:w="0" w:type="dxa"/>
            </w:tcMar>
            <w:vAlign w:val="center"/>
          </w:tcPr>
          <w:p w14:paraId="7E208510" w14:textId="77777777" w:rsidR="00DC53A5" w:rsidRPr="00A403B8" w:rsidRDefault="00DC53A5" w:rsidP="00BB35FE">
            <w:pPr>
              <w:tabs>
                <w:tab w:val="left" w:pos="2055"/>
              </w:tabs>
              <w:spacing w:after="0"/>
              <w:jc w:val="center"/>
              <w:rPr>
                <w:rFonts w:eastAsia="Arial" w:cstheme="minorHAnsi"/>
                <w:bCs/>
                <w:color w:val="2A2A2A"/>
              </w:rPr>
            </w:pPr>
            <w:r w:rsidRPr="00A403B8">
              <w:rPr>
                <w:rFonts w:eastAsia="Arial" w:cstheme="minorHAnsi"/>
                <w:bCs/>
                <w:color w:val="2A2A2A"/>
              </w:rPr>
              <w:t>93</w:t>
            </w:r>
          </w:p>
        </w:tc>
        <w:tc>
          <w:tcPr>
            <w:tcW w:w="3060" w:type="dxa"/>
            <w:tcBorders>
              <w:top w:val="nil"/>
              <w:left w:val="single" w:sz="4" w:space="0" w:color="auto"/>
              <w:bottom w:val="nil"/>
              <w:right w:val="single" w:sz="6" w:space="0" w:color="000000"/>
            </w:tcBorders>
            <w:tcMar>
              <w:top w:w="0" w:type="dxa"/>
              <w:left w:w="0" w:type="dxa"/>
              <w:bottom w:w="0" w:type="dxa"/>
              <w:right w:w="0" w:type="dxa"/>
            </w:tcMar>
            <w:vAlign w:val="center"/>
          </w:tcPr>
          <w:p w14:paraId="409DC015" w14:textId="77777777" w:rsidR="00DC53A5" w:rsidRPr="00A403B8" w:rsidRDefault="00DC53A5" w:rsidP="00BB35FE">
            <w:pPr>
              <w:tabs>
                <w:tab w:val="left" w:pos="2055"/>
              </w:tabs>
              <w:spacing w:after="0"/>
              <w:jc w:val="center"/>
              <w:rPr>
                <w:rFonts w:eastAsia="Arial" w:cstheme="minorHAnsi"/>
                <w:bCs/>
                <w:color w:val="2A2A2A"/>
              </w:rPr>
            </w:pPr>
            <w:r w:rsidRPr="00A403B8">
              <w:rPr>
                <w:rFonts w:eastAsia="Arial" w:cstheme="minorHAnsi"/>
                <w:bCs/>
                <w:color w:val="2A2A2A"/>
              </w:rPr>
              <w:t>(89 - 95)</w:t>
            </w:r>
          </w:p>
        </w:tc>
      </w:tr>
      <w:tr w:rsidR="00DC53A5" w:rsidRPr="00A403B8" w14:paraId="7F5FC72A" w14:textId="77777777" w:rsidTr="00BB35FE">
        <w:trPr>
          <w:trHeight w:val="333"/>
        </w:trPr>
        <w:tc>
          <w:tcPr>
            <w:tcW w:w="3060" w:type="dxa"/>
            <w:tcBorders>
              <w:top w:val="nil"/>
              <w:left w:val="single" w:sz="6" w:space="0" w:color="000000"/>
              <w:bottom w:val="single" w:sz="6" w:space="0" w:color="000000"/>
              <w:right w:val="single" w:sz="4" w:space="0" w:color="auto"/>
            </w:tcBorders>
            <w:tcMar>
              <w:top w:w="0" w:type="dxa"/>
              <w:left w:w="0" w:type="dxa"/>
              <w:bottom w:w="0" w:type="dxa"/>
              <w:right w:w="0" w:type="dxa"/>
            </w:tcMar>
            <w:vAlign w:val="center"/>
          </w:tcPr>
          <w:p w14:paraId="410B3FC9" w14:textId="77777777" w:rsidR="00DC53A5" w:rsidRPr="00A403B8" w:rsidRDefault="00DC53A5" w:rsidP="00BB35FE">
            <w:pPr>
              <w:tabs>
                <w:tab w:val="left" w:pos="2055"/>
              </w:tabs>
              <w:spacing w:after="0"/>
              <w:jc w:val="center"/>
              <w:rPr>
                <w:rFonts w:eastAsia="Arial" w:cstheme="minorHAnsi"/>
                <w:bCs/>
                <w:color w:val="2A2A2A"/>
              </w:rPr>
            </w:pPr>
            <w:r w:rsidRPr="00A403B8">
              <w:rPr>
                <w:rFonts w:eastAsia="Arial" w:cstheme="minorHAnsi"/>
                <w:bCs/>
                <w:color w:val="2A2A2A"/>
              </w:rPr>
              <w:t>LD then LD</w:t>
            </w:r>
          </w:p>
        </w:tc>
        <w:tc>
          <w:tcPr>
            <w:tcW w:w="3060" w:type="dxa"/>
            <w:tcBorders>
              <w:top w:val="nil"/>
              <w:left w:val="single" w:sz="4" w:space="0" w:color="auto"/>
              <w:bottom w:val="single" w:sz="6" w:space="0" w:color="000000"/>
              <w:right w:val="single" w:sz="4" w:space="0" w:color="auto"/>
            </w:tcBorders>
            <w:tcMar>
              <w:top w:w="0" w:type="dxa"/>
              <w:left w:w="0" w:type="dxa"/>
              <w:bottom w:w="0" w:type="dxa"/>
              <w:right w:w="0" w:type="dxa"/>
            </w:tcMar>
            <w:vAlign w:val="center"/>
          </w:tcPr>
          <w:p w14:paraId="679AD75C" w14:textId="77777777" w:rsidR="00DC53A5" w:rsidRPr="00A403B8" w:rsidRDefault="00DC53A5" w:rsidP="00BB35FE">
            <w:pPr>
              <w:tabs>
                <w:tab w:val="left" w:pos="2055"/>
              </w:tabs>
              <w:spacing w:after="0"/>
              <w:jc w:val="center"/>
              <w:rPr>
                <w:rFonts w:eastAsia="Arial" w:cstheme="minorHAnsi"/>
                <w:bCs/>
                <w:color w:val="2A2A2A"/>
              </w:rPr>
            </w:pPr>
            <w:r w:rsidRPr="00A403B8">
              <w:rPr>
                <w:rFonts w:eastAsia="Arial" w:cstheme="minorHAnsi"/>
                <w:bCs/>
                <w:color w:val="2A2A2A"/>
              </w:rPr>
              <w:t>95</w:t>
            </w:r>
          </w:p>
        </w:tc>
        <w:tc>
          <w:tcPr>
            <w:tcW w:w="3060" w:type="dxa"/>
            <w:tcBorders>
              <w:top w:val="nil"/>
              <w:left w:val="single" w:sz="4" w:space="0" w:color="auto"/>
              <w:bottom w:val="single" w:sz="6" w:space="0" w:color="000000"/>
              <w:right w:val="single" w:sz="6" w:space="0" w:color="000000"/>
            </w:tcBorders>
            <w:tcMar>
              <w:top w:w="0" w:type="dxa"/>
              <w:left w:w="0" w:type="dxa"/>
              <w:bottom w:w="0" w:type="dxa"/>
              <w:right w:w="0" w:type="dxa"/>
            </w:tcMar>
            <w:vAlign w:val="center"/>
          </w:tcPr>
          <w:p w14:paraId="3A44E05B" w14:textId="77777777" w:rsidR="00DC53A5" w:rsidRPr="00A403B8" w:rsidRDefault="00DC53A5" w:rsidP="00BB35FE">
            <w:pPr>
              <w:tabs>
                <w:tab w:val="left" w:pos="2055"/>
              </w:tabs>
              <w:spacing w:after="0"/>
              <w:jc w:val="center"/>
              <w:rPr>
                <w:rFonts w:eastAsia="Arial" w:cstheme="minorHAnsi"/>
                <w:bCs/>
                <w:color w:val="2A2A2A"/>
              </w:rPr>
            </w:pPr>
            <w:r w:rsidRPr="00A403B8">
              <w:rPr>
                <w:rFonts w:eastAsia="Arial" w:cstheme="minorHAnsi"/>
                <w:bCs/>
                <w:color w:val="2A2A2A"/>
              </w:rPr>
              <w:t>(91 - 98)</w:t>
            </w:r>
          </w:p>
        </w:tc>
      </w:tr>
    </w:tbl>
    <w:p w14:paraId="18689ABC" w14:textId="77777777" w:rsidR="00DC53A5" w:rsidRPr="00A403B8" w:rsidRDefault="00DC53A5" w:rsidP="00DC53A5">
      <w:pPr>
        <w:tabs>
          <w:tab w:val="left" w:pos="2055"/>
        </w:tabs>
        <w:jc w:val="both"/>
        <w:rPr>
          <w:rFonts w:eastAsia="Arial" w:cstheme="minorHAnsi"/>
          <w:color w:val="2A2A2A"/>
        </w:rPr>
      </w:pPr>
    </w:p>
    <w:p w14:paraId="0004D72C" w14:textId="77777777" w:rsidR="00DC53A5" w:rsidRPr="00A403B8" w:rsidRDefault="00DC53A5" w:rsidP="00A403B8">
      <w:pPr>
        <w:tabs>
          <w:tab w:val="left" w:pos="2055"/>
        </w:tabs>
        <w:spacing w:line="276" w:lineRule="auto"/>
        <w:jc w:val="both"/>
        <w:rPr>
          <w:rFonts w:eastAsia="Arial" w:cstheme="minorHAnsi"/>
          <w:color w:val="2A2A2A"/>
        </w:rPr>
      </w:pPr>
      <w:r w:rsidRPr="00A403B8">
        <w:rPr>
          <w:rFonts w:eastAsia="Arial" w:cstheme="minorHAnsi"/>
          <w:color w:val="2A2A2A"/>
        </w:rPr>
        <w:t>Whilst there appears to be a survival advantage from LD followed by LD, this may be influenced by several factors including shorter waiting times due to pre-emptive donation, and donor and recipient age compared to longer time on dialysis for those awaiting DD.</w:t>
      </w:r>
    </w:p>
    <w:p w14:paraId="54BF614A" w14:textId="4077011D" w:rsidR="00DC53A5" w:rsidRPr="00A403B8" w:rsidRDefault="00DC53A5" w:rsidP="00A403B8">
      <w:pPr>
        <w:pStyle w:val="Heading4"/>
        <w:rPr>
          <w:rFonts w:eastAsia="Arial"/>
        </w:rPr>
      </w:pPr>
      <w:bookmarkStart w:id="185" w:name="_Toc128330088"/>
      <w:r w:rsidRPr="00A403B8">
        <w:rPr>
          <w:rFonts w:eastAsia="Arial"/>
        </w:rPr>
        <w:t>1</w:t>
      </w:r>
      <w:r w:rsidR="00A403B8">
        <w:rPr>
          <w:rFonts w:eastAsia="Arial"/>
        </w:rPr>
        <w:t>1</w:t>
      </w:r>
      <w:r w:rsidRPr="00A403B8">
        <w:rPr>
          <w:rFonts w:eastAsia="Arial"/>
        </w:rPr>
        <w:t xml:space="preserve">.4.2 </w:t>
      </w:r>
      <w:r w:rsidR="009E0472">
        <w:rPr>
          <w:rFonts w:eastAsia="Arial"/>
        </w:rPr>
        <w:tab/>
      </w:r>
      <w:r w:rsidR="009E0472">
        <w:rPr>
          <w:rFonts w:eastAsia="Arial"/>
        </w:rPr>
        <w:tab/>
      </w:r>
      <w:r w:rsidRPr="00A403B8">
        <w:rPr>
          <w:rFonts w:eastAsia="Arial"/>
        </w:rPr>
        <w:t>Graft survival after repeat transplantation</w:t>
      </w:r>
      <w:bookmarkEnd w:id="185"/>
    </w:p>
    <w:p w14:paraId="4D043777" w14:textId="77777777" w:rsidR="00DC53A5" w:rsidRPr="00A403B8" w:rsidRDefault="00DC53A5" w:rsidP="00A403B8">
      <w:pPr>
        <w:tabs>
          <w:tab w:val="left" w:pos="2055"/>
        </w:tabs>
        <w:spacing w:line="276" w:lineRule="auto"/>
        <w:jc w:val="both"/>
        <w:rPr>
          <w:rFonts w:eastAsia="Arial" w:cstheme="minorHAnsi"/>
          <w:color w:val="2A2A2A"/>
        </w:rPr>
      </w:pPr>
      <w:r w:rsidRPr="00A403B8">
        <w:rPr>
          <w:rFonts w:eastAsia="Arial" w:cstheme="minorHAnsi"/>
          <w:color w:val="2A2A2A"/>
        </w:rPr>
        <w:t>UK data demonstrate that those that are suitable for repeat transplantation have good graft outcomes, which are comparable to those captured by the Collaborative Transplant Society that confirms the pan-European outcomes.</w:t>
      </w:r>
    </w:p>
    <w:p w14:paraId="35D0A0EE" w14:textId="02759567" w:rsidR="00DC53A5" w:rsidRPr="00A403B8" w:rsidRDefault="00DC53A5" w:rsidP="00A403B8">
      <w:pPr>
        <w:tabs>
          <w:tab w:val="left" w:pos="2055"/>
        </w:tabs>
        <w:spacing w:line="276" w:lineRule="auto"/>
        <w:jc w:val="both"/>
        <w:rPr>
          <w:rFonts w:eastAsia="Arial" w:cstheme="minorHAnsi"/>
          <w:color w:val="2A2A2A"/>
        </w:rPr>
      </w:pPr>
      <w:r w:rsidRPr="00A403B8">
        <w:rPr>
          <w:rFonts w:eastAsia="Arial" w:cstheme="minorHAnsi"/>
          <w:color w:val="2A2A2A"/>
        </w:rPr>
        <w:t>Figure 1</w:t>
      </w:r>
      <w:r w:rsidR="00A403B8">
        <w:rPr>
          <w:rFonts w:eastAsia="Arial" w:cstheme="minorHAnsi"/>
          <w:color w:val="2A2A2A"/>
        </w:rPr>
        <w:t>1</w:t>
      </w:r>
      <w:r w:rsidRPr="00A403B8">
        <w:rPr>
          <w:rFonts w:eastAsia="Arial" w:cstheme="minorHAnsi"/>
          <w:color w:val="2A2A2A"/>
        </w:rPr>
        <w:t>.3 shows the 5-year graft survival by graft number, for deceased donor kidney</w:t>
      </w:r>
      <w:r w:rsidR="00E95399">
        <w:rPr>
          <w:rFonts w:eastAsia="Arial" w:cstheme="minorHAnsi"/>
          <w:color w:val="2A2A2A"/>
        </w:rPr>
        <w:t>-</w:t>
      </w:r>
      <w:r w:rsidRPr="00A403B8">
        <w:rPr>
          <w:rFonts w:eastAsia="Arial" w:cstheme="minorHAnsi"/>
          <w:color w:val="2A2A2A"/>
        </w:rPr>
        <w:t xml:space="preserve">only transplants between January 2010 and December 2016.  The survival estimates at 5 years split by graft number are shown in Table 10.15 and the data shows evidence of a difference between graft </w:t>
      </w:r>
      <w:r w:rsidR="00E95399">
        <w:rPr>
          <w:rFonts w:eastAsia="Arial" w:cstheme="minorHAnsi"/>
          <w:color w:val="2A2A2A"/>
        </w:rPr>
        <w:t>numbers</w:t>
      </w:r>
      <w:r w:rsidRPr="00A403B8">
        <w:rPr>
          <w:rFonts w:eastAsia="Arial" w:cstheme="minorHAnsi"/>
          <w:color w:val="2A2A2A"/>
        </w:rPr>
        <w:t xml:space="preserve"> </w:t>
      </w:r>
      <w:r w:rsidRPr="00A403B8">
        <w:rPr>
          <w:rFonts w:eastAsia="Arial" w:cstheme="minorHAnsi"/>
          <w:color w:val="2A2A2A"/>
        </w:rPr>
        <w:lastRenderedPageBreak/>
        <w:t>(p&lt;0.0001, 2df log-rank test). However, there is still a marked survival advantage conferred compared to not transplanting.</w:t>
      </w:r>
    </w:p>
    <w:p w14:paraId="1FBA95FE" w14:textId="7D69E35D" w:rsidR="00DC53A5" w:rsidRPr="00A403B8" w:rsidRDefault="00DC53A5" w:rsidP="00A403B8">
      <w:pPr>
        <w:tabs>
          <w:tab w:val="left" w:pos="2055"/>
        </w:tabs>
        <w:spacing w:line="276" w:lineRule="auto"/>
        <w:jc w:val="both"/>
        <w:rPr>
          <w:rFonts w:eastAsia="Arial" w:cstheme="minorHAnsi"/>
          <w:color w:val="2A2A2A"/>
        </w:rPr>
      </w:pPr>
      <w:r w:rsidRPr="00A403B8">
        <w:rPr>
          <w:rFonts w:eastAsia="Arial" w:cstheme="minorHAnsi"/>
          <w:b/>
          <w:color w:val="2A2A2A"/>
        </w:rPr>
        <w:t>Figure 1</w:t>
      </w:r>
      <w:r w:rsidR="00A403B8">
        <w:rPr>
          <w:rFonts w:eastAsia="Arial" w:cstheme="minorHAnsi"/>
          <w:b/>
          <w:color w:val="2A2A2A"/>
        </w:rPr>
        <w:t>1</w:t>
      </w:r>
      <w:r w:rsidRPr="00A403B8">
        <w:rPr>
          <w:rFonts w:eastAsia="Arial" w:cstheme="minorHAnsi"/>
          <w:b/>
          <w:color w:val="2A2A2A"/>
        </w:rPr>
        <w:t xml:space="preserve">.3 </w:t>
      </w:r>
      <w:r w:rsidRPr="00A403B8">
        <w:rPr>
          <w:rFonts w:eastAsia="Arial" w:cstheme="minorHAnsi"/>
          <w:color w:val="2A2A2A"/>
        </w:rPr>
        <w:t xml:space="preserve">Five-year graft survival by graft number for deceased donor transplants carried out between 1/1/10 – 31/12/16. </w:t>
      </w:r>
    </w:p>
    <w:p w14:paraId="5418E858" w14:textId="77777777" w:rsidR="00DC53A5" w:rsidRPr="00A403B8" w:rsidRDefault="00DC53A5" w:rsidP="00DC53A5">
      <w:pPr>
        <w:tabs>
          <w:tab w:val="left" w:pos="2055"/>
        </w:tabs>
        <w:jc w:val="both"/>
        <w:rPr>
          <w:rFonts w:eastAsia="Arial" w:cstheme="minorHAnsi"/>
          <w:b/>
          <w:color w:val="2A2A2A"/>
        </w:rPr>
      </w:pPr>
      <w:r w:rsidRPr="00A403B8">
        <w:rPr>
          <w:rFonts w:eastAsia="Arial" w:cstheme="minorHAnsi"/>
          <w:noProof/>
          <w:color w:val="2A2A2A"/>
        </w:rPr>
        <w:drawing>
          <wp:inline distT="0" distB="0" distL="0" distR="0" wp14:anchorId="42F190E1" wp14:editId="484FD836">
            <wp:extent cx="3520800" cy="3520800"/>
            <wp:effectExtent l="0" t="0" r="3810" b="381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3"/>
                    <a:srcRect/>
                    <a:stretch>
                      <a:fillRect/>
                    </a:stretch>
                  </pic:blipFill>
                  <pic:spPr>
                    <a:xfrm>
                      <a:off x="0" y="0"/>
                      <a:ext cx="3520800" cy="3520800"/>
                    </a:xfrm>
                    <a:prstGeom prst="rect">
                      <a:avLst/>
                    </a:prstGeom>
                    <a:ln/>
                  </pic:spPr>
                </pic:pic>
              </a:graphicData>
            </a:graphic>
          </wp:inline>
        </w:drawing>
      </w:r>
    </w:p>
    <w:p w14:paraId="5A966537" w14:textId="2978829F" w:rsidR="00DC53A5" w:rsidRPr="00A403B8" w:rsidRDefault="00DC53A5" w:rsidP="00A403B8">
      <w:pPr>
        <w:tabs>
          <w:tab w:val="left" w:pos="2055"/>
        </w:tabs>
        <w:spacing w:line="276" w:lineRule="auto"/>
        <w:jc w:val="both"/>
        <w:rPr>
          <w:rFonts w:eastAsia="Arial" w:cstheme="minorHAnsi"/>
          <w:b/>
          <w:color w:val="2A2A2A"/>
        </w:rPr>
      </w:pPr>
      <w:r w:rsidRPr="00A403B8">
        <w:rPr>
          <w:rFonts w:eastAsia="Arial" w:cstheme="minorHAnsi"/>
          <w:b/>
          <w:color w:val="2A2A2A"/>
        </w:rPr>
        <w:t>Table 1</w:t>
      </w:r>
      <w:r w:rsidR="00A403B8">
        <w:rPr>
          <w:rFonts w:eastAsia="Arial" w:cstheme="minorHAnsi"/>
          <w:b/>
          <w:color w:val="2A2A2A"/>
        </w:rPr>
        <w:t>1</w:t>
      </w:r>
      <w:r w:rsidRPr="00A403B8">
        <w:rPr>
          <w:rFonts w:eastAsia="Arial" w:cstheme="minorHAnsi"/>
          <w:b/>
          <w:color w:val="2A2A2A"/>
        </w:rPr>
        <w:t xml:space="preserve">.13 </w:t>
      </w:r>
      <w:r w:rsidRPr="00A403B8">
        <w:rPr>
          <w:rFonts w:eastAsia="Arial" w:cstheme="minorHAnsi"/>
          <w:color w:val="2A2A2A"/>
        </w:rPr>
        <w:t xml:space="preserve">Five-year graft survival estimates </w:t>
      </w:r>
      <w:r w:rsidRPr="00A403B8">
        <w:rPr>
          <w:rFonts w:eastAsia="Arial" w:cstheme="minorHAnsi"/>
          <w:b/>
          <w:color w:val="2A2A2A"/>
        </w:rPr>
        <w:t>deceased kidney only</w:t>
      </w:r>
      <w:r w:rsidRPr="00A403B8">
        <w:rPr>
          <w:rFonts w:eastAsia="Arial" w:cstheme="minorHAnsi"/>
          <w:color w:val="2A2A2A"/>
        </w:rPr>
        <w:t xml:space="preserve"> transplant by graft number, transplants 1/1/10 – 31/12/16</w:t>
      </w:r>
      <w:r w:rsidRPr="00A403B8">
        <w:rPr>
          <w:rFonts w:eastAsia="Arial" w:cstheme="minorHAnsi"/>
          <w:b/>
          <w:color w:val="2A2A2A"/>
        </w:rPr>
        <w:t xml:space="preserve"> </w:t>
      </w:r>
    </w:p>
    <w:tbl>
      <w:tblPr>
        <w:tblW w:w="8488"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2829"/>
        <w:gridCol w:w="2829"/>
        <w:gridCol w:w="2830"/>
      </w:tblGrid>
      <w:tr w:rsidR="00DC53A5" w:rsidRPr="00A403B8" w14:paraId="4E114643" w14:textId="77777777" w:rsidTr="00BB35FE">
        <w:trPr>
          <w:trHeight w:val="365"/>
        </w:trPr>
        <w:tc>
          <w:tcPr>
            <w:tcW w:w="2829" w:type="dxa"/>
            <w:tcBorders>
              <w:top w:val="single" w:sz="4" w:space="0" w:color="000000"/>
              <w:bottom w:val="single" w:sz="4" w:space="0" w:color="auto"/>
              <w:right w:val="single" w:sz="4" w:space="0" w:color="auto"/>
            </w:tcBorders>
          </w:tcPr>
          <w:p w14:paraId="56B5C260" w14:textId="77777777" w:rsidR="00DC53A5" w:rsidRPr="00A403B8" w:rsidRDefault="00DC53A5" w:rsidP="00BB35FE">
            <w:pPr>
              <w:tabs>
                <w:tab w:val="left" w:pos="2055"/>
              </w:tabs>
              <w:jc w:val="center"/>
              <w:rPr>
                <w:rFonts w:eastAsia="Arial" w:cstheme="minorHAnsi"/>
                <w:b/>
                <w:color w:val="2A2A2A"/>
              </w:rPr>
            </w:pPr>
            <w:r w:rsidRPr="00A403B8">
              <w:rPr>
                <w:rFonts w:eastAsia="Arial" w:cstheme="minorHAnsi"/>
                <w:b/>
                <w:color w:val="2A2A2A"/>
              </w:rPr>
              <w:t>Graft Number</w:t>
            </w:r>
          </w:p>
        </w:tc>
        <w:tc>
          <w:tcPr>
            <w:tcW w:w="2829" w:type="dxa"/>
            <w:tcBorders>
              <w:top w:val="single" w:sz="4" w:space="0" w:color="000000"/>
              <w:left w:val="single" w:sz="4" w:space="0" w:color="auto"/>
              <w:bottom w:val="single" w:sz="4" w:space="0" w:color="auto"/>
              <w:right w:val="single" w:sz="4" w:space="0" w:color="auto"/>
            </w:tcBorders>
          </w:tcPr>
          <w:p w14:paraId="15EEBD16" w14:textId="77777777" w:rsidR="00DC53A5" w:rsidRPr="00A403B8" w:rsidRDefault="00DC53A5" w:rsidP="00BB35FE">
            <w:pPr>
              <w:tabs>
                <w:tab w:val="left" w:pos="2055"/>
              </w:tabs>
              <w:jc w:val="center"/>
              <w:rPr>
                <w:rFonts w:eastAsia="Arial" w:cstheme="minorHAnsi"/>
                <w:b/>
                <w:color w:val="2A2A2A"/>
              </w:rPr>
            </w:pPr>
            <w:r w:rsidRPr="00A403B8">
              <w:rPr>
                <w:rFonts w:eastAsia="Arial" w:cstheme="minorHAnsi"/>
                <w:b/>
                <w:color w:val="2A2A2A"/>
              </w:rPr>
              <w:t>Five-year Graft Survival (%)</w:t>
            </w:r>
          </w:p>
        </w:tc>
        <w:tc>
          <w:tcPr>
            <w:tcW w:w="2830" w:type="dxa"/>
            <w:tcBorders>
              <w:top w:val="single" w:sz="4" w:space="0" w:color="000000"/>
              <w:left w:val="single" w:sz="4" w:space="0" w:color="auto"/>
              <w:bottom w:val="single" w:sz="4" w:space="0" w:color="auto"/>
            </w:tcBorders>
          </w:tcPr>
          <w:p w14:paraId="02D8B12A" w14:textId="77777777" w:rsidR="00DC53A5" w:rsidRPr="00A403B8" w:rsidRDefault="00DC53A5" w:rsidP="00BB35FE">
            <w:pPr>
              <w:tabs>
                <w:tab w:val="left" w:pos="2055"/>
              </w:tabs>
              <w:jc w:val="center"/>
              <w:rPr>
                <w:rFonts w:eastAsia="Arial" w:cstheme="minorHAnsi"/>
                <w:b/>
                <w:color w:val="2A2A2A"/>
              </w:rPr>
            </w:pPr>
            <w:r w:rsidRPr="00A403B8">
              <w:rPr>
                <w:rFonts w:eastAsia="Arial" w:cstheme="minorHAnsi"/>
                <w:b/>
                <w:color w:val="2A2A2A"/>
              </w:rPr>
              <w:t>95% CI</w:t>
            </w:r>
          </w:p>
        </w:tc>
      </w:tr>
      <w:tr w:rsidR="00DC53A5" w:rsidRPr="00A403B8" w14:paraId="21FF59AE" w14:textId="77777777" w:rsidTr="00BB35FE">
        <w:trPr>
          <w:trHeight w:val="297"/>
        </w:trPr>
        <w:tc>
          <w:tcPr>
            <w:tcW w:w="2829" w:type="dxa"/>
            <w:tcBorders>
              <w:top w:val="single" w:sz="4" w:space="0" w:color="auto"/>
              <w:right w:val="single" w:sz="4" w:space="0" w:color="auto"/>
            </w:tcBorders>
            <w:vAlign w:val="center"/>
          </w:tcPr>
          <w:p w14:paraId="07C1666A" w14:textId="77777777" w:rsidR="00DC53A5" w:rsidRPr="00A403B8" w:rsidRDefault="00DC53A5" w:rsidP="00BB35FE">
            <w:pPr>
              <w:tabs>
                <w:tab w:val="left" w:pos="2055"/>
              </w:tabs>
              <w:jc w:val="center"/>
              <w:rPr>
                <w:rFonts w:eastAsia="Arial" w:cstheme="minorHAnsi"/>
                <w:color w:val="2A2A2A"/>
              </w:rPr>
            </w:pPr>
            <w:r w:rsidRPr="00A403B8">
              <w:rPr>
                <w:rFonts w:eastAsia="Arial" w:cstheme="minorHAnsi"/>
                <w:color w:val="2A2A2A"/>
              </w:rPr>
              <w:t>1</w:t>
            </w:r>
          </w:p>
        </w:tc>
        <w:tc>
          <w:tcPr>
            <w:tcW w:w="2829" w:type="dxa"/>
            <w:tcBorders>
              <w:top w:val="single" w:sz="4" w:space="0" w:color="auto"/>
              <w:left w:val="single" w:sz="4" w:space="0" w:color="auto"/>
              <w:right w:val="single" w:sz="4" w:space="0" w:color="auto"/>
            </w:tcBorders>
            <w:vAlign w:val="center"/>
          </w:tcPr>
          <w:p w14:paraId="2182B478" w14:textId="77777777" w:rsidR="00DC53A5" w:rsidRPr="00A403B8" w:rsidRDefault="00DC53A5" w:rsidP="00BB35FE">
            <w:pPr>
              <w:tabs>
                <w:tab w:val="left" w:pos="2055"/>
              </w:tabs>
              <w:jc w:val="center"/>
              <w:rPr>
                <w:rFonts w:eastAsia="Arial" w:cstheme="minorHAnsi"/>
                <w:b/>
                <w:color w:val="2A2A2A"/>
              </w:rPr>
            </w:pPr>
            <w:r w:rsidRPr="00A403B8">
              <w:rPr>
                <w:rFonts w:eastAsia="Arial" w:cstheme="minorHAnsi"/>
                <w:color w:val="2A2A2A"/>
              </w:rPr>
              <w:t>86</w:t>
            </w:r>
          </w:p>
        </w:tc>
        <w:tc>
          <w:tcPr>
            <w:tcW w:w="2830" w:type="dxa"/>
            <w:tcBorders>
              <w:top w:val="single" w:sz="4" w:space="0" w:color="auto"/>
              <w:left w:val="single" w:sz="4" w:space="0" w:color="auto"/>
            </w:tcBorders>
            <w:vAlign w:val="center"/>
          </w:tcPr>
          <w:p w14:paraId="2E522FC5" w14:textId="77777777" w:rsidR="00DC53A5" w:rsidRPr="00A403B8" w:rsidRDefault="00DC53A5" w:rsidP="00BB35FE">
            <w:pPr>
              <w:tabs>
                <w:tab w:val="left" w:pos="2055"/>
              </w:tabs>
              <w:jc w:val="center"/>
              <w:rPr>
                <w:rFonts w:eastAsia="Arial" w:cstheme="minorHAnsi"/>
                <w:b/>
                <w:color w:val="2A2A2A"/>
              </w:rPr>
            </w:pPr>
            <w:r w:rsidRPr="00A403B8">
              <w:rPr>
                <w:rFonts w:eastAsia="Arial" w:cstheme="minorHAnsi"/>
                <w:color w:val="2A2A2A"/>
              </w:rPr>
              <w:t>(86 - 87)</w:t>
            </w:r>
          </w:p>
        </w:tc>
      </w:tr>
      <w:tr w:rsidR="00DC53A5" w:rsidRPr="00A403B8" w14:paraId="5E92EDD5" w14:textId="77777777" w:rsidTr="00BB35FE">
        <w:trPr>
          <w:trHeight w:val="282"/>
        </w:trPr>
        <w:tc>
          <w:tcPr>
            <w:tcW w:w="2829" w:type="dxa"/>
            <w:tcBorders>
              <w:right w:val="single" w:sz="4" w:space="0" w:color="auto"/>
            </w:tcBorders>
            <w:vAlign w:val="center"/>
          </w:tcPr>
          <w:p w14:paraId="5C203C21" w14:textId="77777777" w:rsidR="00DC53A5" w:rsidRPr="00A403B8" w:rsidRDefault="00DC53A5" w:rsidP="00BB35FE">
            <w:pPr>
              <w:tabs>
                <w:tab w:val="left" w:pos="2055"/>
              </w:tabs>
              <w:jc w:val="center"/>
              <w:rPr>
                <w:rFonts w:eastAsia="Arial" w:cstheme="minorHAnsi"/>
                <w:color w:val="2A2A2A"/>
              </w:rPr>
            </w:pPr>
            <w:r w:rsidRPr="00A403B8">
              <w:rPr>
                <w:rFonts w:eastAsia="Arial" w:cstheme="minorHAnsi"/>
                <w:color w:val="2A2A2A"/>
              </w:rPr>
              <w:t>2</w:t>
            </w:r>
          </w:p>
        </w:tc>
        <w:tc>
          <w:tcPr>
            <w:tcW w:w="2829" w:type="dxa"/>
            <w:tcBorders>
              <w:left w:val="single" w:sz="4" w:space="0" w:color="auto"/>
              <w:right w:val="single" w:sz="4" w:space="0" w:color="auto"/>
            </w:tcBorders>
            <w:vAlign w:val="center"/>
          </w:tcPr>
          <w:p w14:paraId="5BAFA89C" w14:textId="77777777" w:rsidR="00DC53A5" w:rsidRPr="00A403B8" w:rsidRDefault="00DC53A5" w:rsidP="00BB35FE">
            <w:pPr>
              <w:tabs>
                <w:tab w:val="left" w:pos="2055"/>
              </w:tabs>
              <w:jc w:val="center"/>
              <w:rPr>
                <w:rFonts w:eastAsia="Arial" w:cstheme="minorHAnsi"/>
                <w:b/>
                <w:color w:val="2A2A2A"/>
              </w:rPr>
            </w:pPr>
            <w:r w:rsidRPr="00A403B8">
              <w:rPr>
                <w:rFonts w:eastAsia="Arial" w:cstheme="minorHAnsi"/>
                <w:color w:val="2A2A2A"/>
              </w:rPr>
              <w:t>82</w:t>
            </w:r>
          </w:p>
        </w:tc>
        <w:tc>
          <w:tcPr>
            <w:tcW w:w="2830" w:type="dxa"/>
            <w:tcBorders>
              <w:left w:val="single" w:sz="4" w:space="0" w:color="auto"/>
            </w:tcBorders>
            <w:vAlign w:val="center"/>
          </w:tcPr>
          <w:p w14:paraId="7CE454B7" w14:textId="77777777" w:rsidR="00DC53A5" w:rsidRPr="00A403B8" w:rsidRDefault="00DC53A5" w:rsidP="00BB35FE">
            <w:pPr>
              <w:tabs>
                <w:tab w:val="left" w:pos="2055"/>
              </w:tabs>
              <w:jc w:val="center"/>
              <w:rPr>
                <w:rFonts w:eastAsia="Arial" w:cstheme="minorHAnsi"/>
                <w:b/>
                <w:color w:val="2A2A2A"/>
              </w:rPr>
            </w:pPr>
            <w:r w:rsidRPr="00A403B8">
              <w:rPr>
                <w:rFonts w:eastAsia="Arial" w:cstheme="minorHAnsi"/>
                <w:color w:val="2A2A2A"/>
              </w:rPr>
              <w:t>(80 - 84)</w:t>
            </w:r>
          </w:p>
        </w:tc>
      </w:tr>
      <w:tr w:rsidR="00DC53A5" w:rsidRPr="00A403B8" w14:paraId="51ED8EC0" w14:textId="77777777" w:rsidTr="00BB35FE">
        <w:trPr>
          <w:trHeight w:val="282"/>
        </w:trPr>
        <w:tc>
          <w:tcPr>
            <w:tcW w:w="2829" w:type="dxa"/>
            <w:tcBorders>
              <w:right w:val="single" w:sz="4" w:space="0" w:color="auto"/>
            </w:tcBorders>
            <w:vAlign w:val="center"/>
          </w:tcPr>
          <w:p w14:paraId="45BB003C" w14:textId="77777777" w:rsidR="00DC53A5" w:rsidRPr="00A403B8" w:rsidRDefault="00DC53A5" w:rsidP="00BB35FE">
            <w:pPr>
              <w:tabs>
                <w:tab w:val="left" w:pos="2055"/>
              </w:tabs>
              <w:jc w:val="center"/>
              <w:rPr>
                <w:rFonts w:eastAsia="Arial" w:cstheme="minorHAnsi"/>
                <w:color w:val="2A2A2A"/>
              </w:rPr>
            </w:pPr>
            <w:r w:rsidRPr="00A403B8">
              <w:rPr>
                <w:rFonts w:eastAsia="Arial" w:cstheme="minorHAnsi"/>
                <w:color w:val="2A2A2A"/>
              </w:rPr>
              <w:t>3</w:t>
            </w:r>
          </w:p>
        </w:tc>
        <w:tc>
          <w:tcPr>
            <w:tcW w:w="2829" w:type="dxa"/>
            <w:tcBorders>
              <w:left w:val="single" w:sz="4" w:space="0" w:color="auto"/>
              <w:right w:val="single" w:sz="4" w:space="0" w:color="auto"/>
            </w:tcBorders>
            <w:vAlign w:val="center"/>
          </w:tcPr>
          <w:p w14:paraId="3204E14E" w14:textId="77777777" w:rsidR="00DC53A5" w:rsidRPr="00A403B8" w:rsidRDefault="00DC53A5" w:rsidP="00BB35FE">
            <w:pPr>
              <w:tabs>
                <w:tab w:val="left" w:pos="2055"/>
              </w:tabs>
              <w:jc w:val="center"/>
              <w:rPr>
                <w:rFonts w:eastAsia="Arial" w:cstheme="minorHAnsi"/>
                <w:b/>
                <w:color w:val="2A2A2A"/>
              </w:rPr>
            </w:pPr>
            <w:r w:rsidRPr="00A403B8">
              <w:rPr>
                <w:rFonts w:eastAsia="Arial" w:cstheme="minorHAnsi"/>
                <w:color w:val="2A2A2A"/>
              </w:rPr>
              <w:t>78</w:t>
            </w:r>
          </w:p>
        </w:tc>
        <w:tc>
          <w:tcPr>
            <w:tcW w:w="2830" w:type="dxa"/>
            <w:tcBorders>
              <w:left w:val="single" w:sz="4" w:space="0" w:color="auto"/>
            </w:tcBorders>
            <w:vAlign w:val="center"/>
          </w:tcPr>
          <w:p w14:paraId="00442935" w14:textId="77777777" w:rsidR="00DC53A5" w:rsidRPr="00A403B8" w:rsidRDefault="00DC53A5" w:rsidP="00BB35FE">
            <w:pPr>
              <w:tabs>
                <w:tab w:val="left" w:pos="2055"/>
              </w:tabs>
              <w:jc w:val="center"/>
              <w:rPr>
                <w:rFonts w:eastAsia="Arial" w:cstheme="minorHAnsi"/>
                <w:b/>
                <w:color w:val="2A2A2A"/>
              </w:rPr>
            </w:pPr>
            <w:r w:rsidRPr="00A403B8">
              <w:rPr>
                <w:rFonts w:eastAsia="Arial" w:cstheme="minorHAnsi"/>
                <w:color w:val="2A2A2A"/>
              </w:rPr>
              <w:t>(72 - 82)</w:t>
            </w:r>
          </w:p>
        </w:tc>
      </w:tr>
    </w:tbl>
    <w:p w14:paraId="218A33F2" w14:textId="77777777" w:rsidR="00DC53A5" w:rsidRPr="00A403B8" w:rsidRDefault="00DC53A5" w:rsidP="00DC53A5">
      <w:pPr>
        <w:tabs>
          <w:tab w:val="left" w:pos="2055"/>
        </w:tabs>
        <w:jc w:val="both"/>
        <w:rPr>
          <w:rFonts w:eastAsia="Arial" w:cstheme="minorHAnsi"/>
          <w:b/>
          <w:color w:val="2A2A2A"/>
        </w:rPr>
      </w:pPr>
    </w:p>
    <w:p w14:paraId="4DF784C2" w14:textId="6A9CACAA" w:rsidR="00DC53A5" w:rsidRPr="00A403B8" w:rsidRDefault="00DC53A5" w:rsidP="009E0472">
      <w:pPr>
        <w:pStyle w:val="Heading4"/>
        <w:rPr>
          <w:rFonts w:eastAsia="Arial"/>
        </w:rPr>
      </w:pPr>
      <w:bookmarkStart w:id="186" w:name="_Toc128330089"/>
      <w:r w:rsidRPr="00A403B8">
        <w:rPr>
          <w:rFonts w:eastAsia="Arial"/>
        </w:rPr>
        <w:t>1</w:t>
      </w:r>
      <w:r w:rsidR="00A403B8">
        <w:rPr>
          <w:rFonts w:eastAsia="Arial"/>
        </w:rPr>
        <w:t>1</w:t>
      </w:r>
      <w:r w:rsidRPr="00A403B8">
        <w:rPr>
          <w:rFonts w:eastAsia="Arial"/>
        </w:rPr>
        <w:t xml:space="preserve">.4.3 </w:t>
      </w:r>
      <w:r w:rsidR="009E0472">
        <w:rPr>
          <w:rFonts w:eastAsia="Arial"/>
        </w:rPr>
        <w:tab/>
      </w:r>
      <w:r w:rsidR="009E0472">
        <w:rPr>
          <w:rFonts w:eastAsia="Arial"/>
        </w:rPr>
        <w:tab/>
      </w:r>
      <w:r w:rsidRPr="00A403B8">
        <w:rPr>
          <w:rFonts w:eastAsia="Arial"/>
        </w:rPr>
        <w:t>Effect of donor type on graft survival</w:t>
      </w:r>
      <w:bookmarkEnd w:id="186"/>
    </w:p>
    <w:p w14:paraId="2BACE902" w14:textId="28F3D6C4" w:rsidR="00DC53A5" w:rsidRPr="00A403B8" w:rsidRDefault="00DC53A5" w:rsidP="00A403B8">
      <w:pPr>
        <w:tabs>
          <w:tab w:val="left" w:pos="2055"/>
        </w:tabs>
        <w:spacing w:line="276" w:lineRule="auto"/>
        <w:jc w:val="both"/>
        <w:rPr>
          <w:rFonts w:eastAsia="Arial" w:cstheme="minorHAnsi"/>
          <w:color w:val="2A2A2A"/>
        </w:rPr>
      </w:pPr>
      <w:r w:rsidRPr="00A403B8">
        <w:rPr>
          <w:rFonts w:eastAsia="Arial" w:cstheme="minorHAnsi"/>
          <w:color w:val="2A2A2A"/>
        </w:rPr>
        <w:t>The type of donor has an impact on graft survival and</w:t>
      </w:r>
      <w:r w:rsidR="00E95399">
        <w:rPr>
          <w:rFonts w:eastAsia="Arial" w:cstheme="minorHAnsi"/>
          <w:color w:val="2A2A2A"/>
        </w:rPr>
        <w:t xml:space="preserve"> this effect</w:t>
      </w:r>
      <w:r w:rsidRPr="00A403B8">
        <w:rPr>
          <w:rFonts w:eastAsia="Arial" w:cstheme="minorHAnsi"/>
          <w:color w:val="2A2A2A"/>
        </w:rPr>
        <w:t xml:space="preserve"> is shown below in Figure 1</w:t>
      </w:r>
      <w:r w:rsidR="00A403B8">
        <w:rPr>
          <w:rFonts w:eastAsia="Arial" w:cstheme="minorHAnsi"/>
          <w:color w:val="2A2A2A"/>
        </w:rPr>
        <w:t>1</w:t>
      </w:r>
      <w:r w:rsidRPr="00A403B8">
        <w:rPr>
          <w:rFonts w:eastAsia="Arial" w:cstheme="minorHAnsi"/>
          <w:color w:val="2A2A2A"/>
        </w:rPr>
        <w:t>.4 and Table 1</w:t>
      </w:r>
      <w:r w:rsidR="00A403B8">
        <w:rPr>
          <w:rFonts w:eastAsia="Arial" w:cstheme="minorHAnsi"/>
          <w:color w:val="2A2A2A"/>
        </w:rPr>
        <w:t>1</w:t>
      </w:r>
      <w:r w:rsidRPr="00A403B8">
        <w:rPr>
          <w:rFonts w:eastAsia="Arial" w:cstheme="minorHAnsi"/>
          <w:color w:val="2A2A2A"/>
        </w:rPr>
        <w:t>.14. Figure 1</w:t>
      </w:r>
      <w:r w:rsidR="00A403B8">
        <w:rPr>
          <w:rFonts w:eastAsia="Arial" w:cstheme="minorHAnsi"/>
          <w:color w:val="2A2A2A"/>
        </w:rPr>
        <w:t>1</w:t>
      </w:r>
      <w:r w:rsidRPr="00A403B8">
        <w:rPr>
          <w:rFonts w:eastAsia="Arial" w:cstheme="minorHAnsi"/>
          <w:color w:val="2A2A2A"/>
        </w:rPr>
        <w:t xml:space="preserve">.4 shows the 5-year graft survival following </w:t>
      </w:r>
      <w:r w:rsidR="00E95399">
        <w:rPr>
          <w:rFonts w:eastAsia="Arial" w:cstheme="minorHAnsi"/>
          <w:color w:val="2A2A2A"/>
        </w:rPr>
        <w:t xml:space="preserve">the </w:t>
      </w:r>
      <w:r w:rsidRPr="00A403B8">
        <w:rPr>
          <w:rFonts w:eastAsia="Arial" w:cstheme="minorHAnsi"/>
          <w:color w:val="2A2A2A"/>
        </w:rPr>
        <w:t>2</w:t>
      </w:r>
      <w:r w:rsidRPr="00A403B8">
        <w:rPr>
          <w:rFonts w:eastAsia="Arial" w:cstheme="minorHAnsi"/>
          <w:color w:val="2A2A2A"/>
          <w:vertAlign w:val="superscript"/>
        </w:rPr>
        <w:t>nd</w:t>
      </w:r>
      <w:r w:rsidRPr="00A403B8">
        <w:rPr>
          <w:rFonts w:eastAsia="Arial" w:cstheme="minorHAnsi"/>
          <w:color w:val="2A2A2A"/>
        </w:rPr>
        <w:t xml:space="preserve"> kidney</w:t>
      </w:r>
      <w:r w:rsidR="00E95399">
        <w:rPr>
          <w:rFonts w:eastAsia="Arial" w:cstheme="minorHAnsi"/>
          <w:color w:val="2A2A2A"/>
        </w:rPr>
        <w:t>-</w:t>
      </w:r>
      <w:r w:rsidRPr="00A403B8">
        <w:rPr>
          <w:rFonts w:eastAsia="Arial" w:cstheme="minorHAnsi"/>
          <w:color w:val="2A2A2A"/>
        </w:rPr>
        <w:t xml:space="preserve">only transplant, including grafts </w:t>
      </w:r>
      <w:r w:rsidR="00E95399">
        <w:rPr>
          <w:rFonts w:eastAsia="Arial" w:cstheme="minorHAnsi"/>
          <w:color w:val="2A2A2A"/>
        </w:rPr>
        <w:t xml:space="preserve">from </w:t>
      </w:r>
      <w:r w:rsidRPr="00A403B8">
        <w:rPr>
          <w:rFonts w:eastAsia="Arial" w:cstheme="minorHAnsi"/>
          <w:color w:val="2A2A2A"/>
        </w:rPr>
        <w:t xml:space="preserve">January 2010 to December 2016.  The number at risk indicates those recipients with a functioning graft for whom there is </w:t>
      </w:r>
      <w:r w:rsidR="00E95399">
        <w:rPr>
          <w:rFonts w:eastAsia="Arial" w:cstheme="minorHAnsi"/>
          <w:color w:val="2A2A2A"/>
        </w:rPr>
        <w:t>follow-up</w:t>
      </w:r>
      <w:r w:rsidRPr="00A403B8">
        <w:rPr>
          <w:rFonts w:eastAsia="Arial" w:cstheme="minorHAnsi"/>
          <w:color w:val="2A2A2A"/>
        </w:rPr>
        <w:t xml:space="preserve"> at that time point.</w:t>
      </w:r>
    </w:p>
    <w:p w14:paraId="2373C619" w14:textId="147190FD" w:rsidR="00DC53A5" w:rsidRPr="00A403B8" w:rsidRDefault="00DC53A5" w:rsidP="00A403B8">
      <w:pPr>
        <w:tabs>
          <w:tab w:val="left" w:pos="2055"/>
        </w:tabs>
        <w:spacing w:line="276" w:lineRule="auto"/>
        <w:jc w:val="both"/>
        <w:rPr>
          <w:rFonts w:eastAsia="Arial" w:cstheme="minorHAnsi"/>
          <w:color w:val="2A2A2A"/>
        </w:rPr>
      </w:pPr>
      <w:r w:rsidRPr="00A403B8">
        <w:rPr>
          <w:rFonts w:eastAsia="Arial" w:cstheme="minorHAnsi"/>
          <w:b/>
          <w:color w:val="2A2A2A"/>
        </w:rPr>
        <w:t>Figure 1</w:t>
      </w:r>
      <w:r w:rsidR="00A403B8">
        <w:rPr>
          <w:rFonts w:eastAsia="Arial" w:cstheme="minorHAnsi"/>
          <w:b/>
          <w:color w:val="2A2A2A"/>
        </w:rPr>
        <w:t>1</w:t>
      </w:r>
      <w:r w:rsidRPr="00A403B8">
        <w:rPr>
          <w:rFonts w:eastAsia="Arial" w:cstheme="minorHAnsi"/>
          <w:b/>
          <w:color w:val="2A2A2A"/>
        </w:rPr>
        <w:t xml:space="preserve">.4 – </w:t>
      </w:r>
      <w:r w:rsidRPr="00A403B8">
        <w:rPr>
          <w:rFonts w:eastAsia="Arial" w:cstheme="minorHAnsi"/>
          <w:color w:val="2A2A2A"/>
        </w:rPr>
        <w:t>Five-year graft survival for patients receiving a 2</w:t>
      </w:r>
      <w:r w:rsidRPr="00A403B8">
        <w:rPr>
          <w:rFonts w:eastAsia="Arial" w:cstheme="minorHAnsi"/>
          <w:color w:val="2A2A2A"/>
          <w:vertAlign w:val="superscript"/>
        </w:rPr>
        <w:t>nd</w:t>
      </w:r>
      <w:r w:rsidRPr="00A403B8">
        <w:rPr>
          <w:rFonts w:eastAsia="Arial" w:cstheme="minorHAnsi"/>
          <w:color w:val="2A2A2A"/>
        </w:rPr>
        <w:t xml:space="preserve"> </w:t>
      </w:r>
      <w:r w:rsidR="00E95399">
        <w:rPr>
          <w:rFonts w:eastAsia="Arial" w:cstheme="minorHAnsi"/>
          <w:color w:val="2A2A2A"/>
        </w:rPr>
        <w:t>kidney-only</w:t>
      </w:r>
      <w:r w:rsidRPr="00A403B8">
        <w:rPr>
          <w:rFonts w:eastAsia="Arial" w:cstheme="minorHAnsi"/>
          <w:color w:val="2A2A2A"/>
        </w:rPr>
        <w:t xml:space="preserve"> transplant, 1/1/10 – 31/12/16</w:t>
      </w:r>
    </w:p>
    <w:p w14:paraId="2B8374CA" w14:textId="77777777" w:rsidR="00DC53A5" w:rsidRPr="00A403B8" w:rsidRDefault="00DC53A5" w:rsidP="00DC53A5">
      <w:pPr>
        <w:tabs>
          <w:tab w:val="left" w:pos="2055"/>
        </w:tabs>
        <w:jc w:val="both"/>
        <w:rPr>
          <w:rFonts w:eastAsia="Arial" w:cstheme="minorHAnsi"/>
          <w:color w:val="2A2A2A"/>
        </w:rPr>
      </w:pPr>
    </w:p>
    <w:p w14:paraId="6D243CB3" w14:textId="77777777" w:rsidR="00DC53A5" w:rsidRPr="00A403B8" w:rsidRDefault="00DC53A5" w:rsidP="00DC53A5">
      <w:pPr>
        <w:tabs>
          <w:tab w:val="left" w:pos="2055"/>
        </w:tabs>
        <w:jc w:val="both"/>
        <w:rPr>
          <w:rFonts w:cstheme="minorHAnsi"/>
          <w:color w:val="2A2A2A"/>
        </w:rPr>
      </w:pPr>
      <w:r w:rsidRPr="00A403B8">
        <w:rPr>
          <w:rFonts w:cstheme="minorHAnsi"/>
          <w:noProof/>
          <w:color w:val="2A2A2A"/>
        </w:rPr>
        <w:lastRenderedPageBreak/>
        <w:drawing>
          <wp:inline distT="114300" distB="114300" distL="114300" distR="114300" wp14:anchorId="3A266C9B" wp14:editId="6F2139BE">
            <wp:extent cx="3805238" cy="3805238"/>
            <wp:effectExtent l="0" t="0" r="0" b="0"/>
            <wp:docPr id="9" name="image6.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Chart, line chart&#10;&#10;Description automatically generated"/>
                    <pic:cNvPicPr preferRelativeResize="0"/>
                  </pic:nvPicPr>
                  <pic:blipFill>
                    <a:blip r:embed="rId74"/>
                    <a:srcRect/>
                    <a:stretch>
                      <a:fillRect/>
                    </a:stretch>
                  </pic:blipFill>
                  <pic:spPr>
                    <a:xfrm>
                      <a:off x="0" y="0"/>
                      <a:ext cx="3805238" cy="3805238"/>
                    </a:xfrm>
                    <a:prstGeom prst="rect">
                      <a:avLst/>
                    </a:prstGeom>
                    <a:ln/>
                  </pic:spPr>
                </pic:pic>
              </a:graphicData>
            </a:graphic>
          </wp:inline>
        </w:drawing>
      </w:r>
    </w:p>
    <w:p w14:paraId="22399EA2" w14:textId="2B685024" w:rsidR="00DC53A5" w:rsidRPr="00A403B8" w:rsidRDefault="00DC53A5" w:rsidP="00A403B8">
      <w:pPr>
        <w:spacing w:line="276" w:lineRule="auto"/>
        <w:jc w:val="both"/>
        <w:rPr>
          <w:rFonts w:eastAsia="Arial" w:cstheme="minorHAnsi"/>
          <w:color w:val="2A2A2A"/>
        </w:rPr>
      </w:pPr>
      <w:r w:rsidRPr="00A403B8">
        <w:rPr>
          <w:rFonts w:eastAsia="Arial" w:cstheme="minorHAnsi"/>
          <w:color w:val="2A2A2A"/>
        </w:rPr>
        <w:t>There is an initial steep drop off in graft survival due to, for example, primary non-function or immune mediated pathology (rapid disease recurrence or hyperacute rejection). Unsurprisingly the best graft survival is seen for LD followed by LD and although it appears that LD then DD has the poorest graft survival, this is not statistically significant compared to DD then DD. The survival estimates at 5 years by donor type are shown in Table 1</w:t>
      </w:r>
      <w:r w:rsidR="00A403B8">
        <w:rPr>
          <w:rFonts w:eastAsia="Arial" w:cstheme="minorHAnsi"/>
          <w:color w:val="2A2A2A"/>
        </w:rPr>
        <w:t>1</w:t>
      </w:r>
      <w:r w:rsidRPr="00A403B8">
        <w:rPr>
          <w:rFonts w:eastAsia="Arial" w:cstheme="minorHAnsi"/>
          <w:color w:val="2A2A2A"/>
        </w:rPr>
        <w:t>.14, with evidence of a difference between donor types (p&lt;0.0001, 3df log-rank test).</w:t>
      </w:r>
    </w:p>
    <w:p w14:paraId="17876D38" w14:textId="74FA8E18" w:rsidR="00DC53A5" w:rsidRPr="00A403B8" w:rsidRDefault="00DC53A5" w:rsidP="00A403B8">
      <w:pPr>
        <w:tabs>
          <w:tab w:val="left" w:pos="2055"/>
        </w:tabs>
        <w:spacing w:line="276" w:lineRule="auto"/>
        <w:jc w:val="both"/>
        <w:rPr>
          <w:rFonts w:eastAsia="Arial" w:cstheme="minorHAnsi"/>
          <w:b/>
          <w:color w:val="2A2A2A"/>
        </w:rPr>
      </w:pPr>
      <w:r w:rsidRPr="00A403B8">
        <w:rPr>
          <w:rFonts w:eastAsia="Arial" w:cstheme="minorHAnsi"/>
          <w:b/>
          <w:color w:val="2A2A2A"/>
        </w:rPr>
        <w:t>Table 1</w:t>
      </w:r>
      <w:r w:rsidR="00A403B8">
        <w:rPr>
          <w:rFonts w:eastAsia="Arial" w:cstheme="minorHAnsi"/>
          <w:b/>
          <w:color w:val="2A2A2A"/>
        </w:rPr>
        <w:t>1</w:t>
      </w:r>
      <w:r w:rsidRPr="00A403B8">
        <w:rPr>
          <w:rFonts w:eastAsia="Arial" w:cstheme="minorHAnsi"/>
          <w:b/>
          <w:color w:val="2A2A2A"/>
        </w:rPr>
        <w:t xml:space="preserve">.14 </w:t>
      </w:r>
      <w:r w:rsidRPr="00A403B8">
        <w:rPr>
          <w:rFonts w:eastAsia="Arial" w:cstheme="minorHAnsi"/>
          <w:color w:val="2A2A2A"/>
        </w:rPr>
        <w:t>Five-year graft survival estimates following 2</w:t>
      </w:r>
      <w:r w:rsidRPr="00A403B8">
        <w:rPr>
          <w:rFonts w:eastAsia="Arial" w:cstheme="minorHAnsi"/>
          <w:color w:val="2A2A2A"/>
          <w:vertAlign w:val="superscript"/>
        </w:rPr>
        <w:t>nd</w:t>
      </w:r>
      <w:r w:rsidRPr="00A403B8">
        <w:rPr>
          <w:rFonts w:eastAsia="Arial" w:cstheme="minorHAnsi"/>
          <w:color w:val="2A2A2A"/>
        </w:rPr>
        <w:t xml:space="preserve"> kidney only transplant, transplants occurring between 1/1/10 – 31/12/16</w:t>
      </w:r>
      <w:r w:rsidRPr="00A403B8">
        <w:rPr>
          <w:rFonts w:eastAsia="Arial" w:cstheme="minorHAnsi"/>
          <w:b/>
          <w:color w:val="2A2A2A"/>
        </w:rPr>
        <w:t xml:space="preserve"> </w:t>
      </w:r>
    </w:p>
    <w:tbl>
      <w:tblPr>
        <w:tblW w:w="9026" w:type="dxa"/>
        <w:tblBorders>
          <w:top w:val="single" w:sz="6" w:space="0" w:color="2A2A2A"/>
          <w:left w:val="single" w:sz="6" w:space="0" w:color="2A2A2A"/>
          <w:bottom w:val="single" w:sz="6" w:space="0" w:color="2A2A2A"/>
          <w:right w:val="single" w:sz="6" w:space="0" w:color="2A2A2A"/>
          <w:insideH w:val="single" w:sz="6" w:space="0" w:color="2A2A2A"/>
          <w:insideV w:val="single" w:sz="6" w:space="0" w:color="2A2A2A"/>
        </w:tblBorders>
        <w:tblLayout w:type="fixed"/>
        <w:tblLook w:val="0600" w:firstRow="0" w:lastRow="0" w:firstColumn="0" w:lastColumn="0" w:noHBand="1" w:noVBand="1"/>
      </w:tblPr>
      <w:tblGrid>
        <w:gridCol w:w="3008"/>
        <w:gridCol w:w="3009"/>
        <w:gridCol w:w="3009"/>
      </w:tblGrid>
      <w:tr w:rsidR="00DC53A5" w:rsidRPr="00A403B8" w14:paraId="562C72BE" w14:textId="77777777" w:rsidTr="00BB35FE">
        <w:tc>
          <w:tcPr>
            <w:tcW w:w="3008" w:type="dxa"/>
            <w:tcBorders>
              <w:top w:val="single" w:sz="6" w:space="0" w:color="2A2A2A"/>
              <w:left w:val="single" w:sz="6" w:space="0" w:color="2A2A2A"/>
              <w:bottom w:val="single" w:sz="6" w:space="0" w:color="2A2A2A"/>
              <w:right w:val="single" w:sz="6" w:space="0" w:color="2A2A2A"/>
            </w:tcBorders>
            <w:tcMar>
              <w:top w:w="0" w:type="dxa"/>
              <w:left w:w="0" w:type="dxa"/>
              <w:bottom w:w="0" w:type="dxa"/>
              <w:right w:w="0" w:type="dxa"/>
            </w:tcMar>
          </w:tcPr>
          <w:p w14:paraId="4175B1F2" w14:textId="77777777" w:rsidR="00DC53A5" w:rsidRPr="00A403B8" w:rsidRDefault="00DC53A5" w:rsidP="00BB35FE">
            <w:pPr>
              <w:tabs>
                <w:tab w:val="left" w:pos="2055"/>
              </w:tabs>
              <w:spacing w:after="0"/>
              <w:jc w:val="center"/>
              <w:rPr>
                <w:rFonts w:eastAsia="Arial" w:cstheme="minorHAnsi"/>
                <w:b/>
                <w:color w:val="2A2A2A"/>
              </w:rPr>
            </w:pPr>
            <w:r w:rsidRPr="00A403B8">
              <w:rPr>
                <w:rFonts w:eastAsia="Arial" w:cstheme="minorHAnsi"/>
                <w:b/>
                <w:color w:val="2A2A2A"/>
              </w:rPr>
              <w:t>Donor Types</w:t>
            </w:r>
          </w:p>
        </w:tc>
        <w:tc>
          <w:tcPr>
            <w:tcW w:w="3009" w:type="dxa"/>
            <w:tcBorders>
              <w:top w:val="single" w:sz="6" w:space="0" w:color="2A2A2A"/>
              <w:left w:val="single" w:sz="6" w:space="0" w:color="2A2A2A"/>
              <w:bottom w:val="single" w:sz="6" w:space="0" w:color="2A2A2A"/>
              <w:right w:val="single" w:sz="6" w:space="0" w:color="2A2A2A"/>
            </w:tcBorders>
            <w:tcMar>
              <w:top w:w="0" w:type="dxa"/>
              <w:left w:w="0" w:type="dxa"/>
              <w:bottom w:w="0" w:type="dxa"/>
              <w:right w:w="0" w:type="dxa"/>
            </w:tcMar>
          </w:tcPr>
          <w:p w14:paraId="5B385805" w14:textId="77777777" w:rsidR="00DC53A5" w:rsidRPr="00A403B8" w:rsidRDefault="00DC53A5" w:rsidP="00BB35FE">
            <w:pPr>
              <w:tabs>
                <w:tab w:val="left" w:pos="2055"/>
              </w:tabs>
              <w:spacing w:after="0"/>
              <w:jc w:val="center"/>
              <w:rPr>
                <w:rFonts w:eastAsia="Arial" w:cstheme="minorHAnsi"/>
                <w:b/>
                <w:color w:val="2A2A2A"/>
              </w:rPr>
            </w:pPr>
            <w:r w:rsidRPr="00A403B8">
              <w:rPr>
                <w:rFonts w:eastAsia="Arial" w:cstheme="minorHAnsi"/>
                <w:b/>
                <w:color w:val="2A2A2A"/>
              </w:rPr>
              <w:t>% Graft Survival</w:t>
            </w:r>
          </w:p>
        </w:tc>
        <w:tc>
          <w:tcPr>
            <w:tcW w:w="3009" w:type="dxa"/>
            <w:tcBorders>
              <w:top w:val="single" w:sz="6" w:space="0" w:color="2A2A2A"/>
              <w:left w:val="single" w:sz="6" w:space="0" w:color="2A2A2A"/>
              <w:bottom w:val="single" w:sz="6" w:space="0" w:color="2A2A2A"/>
              <w:right w:val="single" w:sz="6" w:space="0" w:color="2A2A2A"/>
            </w:tcBorders>
            <w:tcMar>
              <w:top w:w="0" w:type="dxa"/>
              <w:left w:w="0" w:type="dxa"/>
              <w:bottom w:w="0" w:type="dxa"/>
              <w:right w:w="0" w:type="dxa"/>
            </w:tcMar>
          </w:tcPr>
          <w:p w14:paraId="1B95A01E" w14:textId="77777777" w:rsidR="00DC53A5" w:rsidRPr="00A403B8" w:rsidRDefault="00DC53A5" w:rsidP="00BB35FE">
            <w:pPr>
              <w:tabs>
                <w:tab w:val="left" w:pos="2055"/>
              </w:tabs>
              <w:spacing w:after="0"/>
              <w:jc w:val="center"/>
              <w:rPr>
                <w:rFonts w:eastAsia="Arial" w:cstheme="minorHAnsi"/>
                <w:b/>
                <w:color w:val="2A2A2A"/>
              </w:rPr>
            </w:pPr>
            <w:r w:rsidRPr="00A403B8">
              <w:rPr>
                <w:rFonts w:eastAsia="Arial" w:cstheme="minorHAnsi"/>
                <w:b/>
                <w:color w:val="2A2A2A"/>
              </w:rPr>
              <w:t>95% CI</w:t>
            </w:r>
          </w:p>
        </w:tc>
      </w:tr>
      <w:tr w:rsidR="00DC53A5" w:rsidRPr="00A403B8" w14:paraId="05980C37" w14:textId="77777777" w:rsidTr="00BB35FE">
        <w:trPr>
          <w:trHeight w:val="1204"/>
        </w:trPr>
        <w:tc>
          <w:tcPr>
            <w:tcW w:w="3008" w:type="dxa"/>
            <w:tcBorders>
              <w:top w:val="single" w:sz="6" w:space="0" w:color="2A2A2A"/>
              <w:left w:val="single" w:sz="6" w:space="0" w:color="2A2A2A"/>
              <w:right w:val="single" w:sz="6" w:space="0" w:color="2A2A2A"/>
            </w:tcBorders>
            <w:tcMar>
              <w:top w:w="0" w:type="dxa"/>
              <w:left w:w="0" w:type="dxa"/>
              <w:bottom w:w="0" w:type="dxa"/>
              <w:right w:w="0" w:type="dxa"/>
            </w:tcMar>
            <w:vAlign w:val="center"/>
          </w:tcPr>
          <w:p w14:paraId="023AC6AF" w14:textId="77777777" w:rsidR="00DC53A5" w:rsidRPr="00A403B8" w:rsidRDefault="00DC53A5" w:rsidP="00BB35FE">
            <w:pPr>
              <w:tabs>
                <w:tab w:val="left" w:pos="2055"/>
              </w:tabs>
              <w:spacing w:after="0"/>
              <w:jc w:val="center"/>
              <w:rPr>
                <w:rFonts w:eastAsia="Arial" w:cstheme="minorHAnsi"/>
                <w:color w:val="2A2A2A"/>
              </w:rPr>
            </w:pPr>
            <w:r w:rsidRPr="00A403B8">
              <w:rPr>
                <w:rFonts w:eastAsia="Arial" w:cstheme="minorHAnsi"/>
                <w:color w:val="2A2A2A"/>
              </w:rPr>
              <w:t>DD then DD</w:t>
            </w:r>
          </w:p>
          <w:p w14:paraId="23E4CB04" w14:textId="77777777" w:rsidR="00DC53A5" w:rsidRPr="00A403B8" w:rsidRDefault="00DC53A5" w:rsidP="00BB35FE">
            <w:pPr>
              <w:tabs>
                <w:tab w:val="left" w:pos="2055"/>
              </w:tabs>
              <w:spacing w:after="0"/>
              <w:jc w:val="center"/>
              <w:rPr>
                <w:rFonts w:eastAsia="Arial" w:cstheme="minorHAnsi"/>
                <w:color w:val="2A2A2A"/>
              </w:rPr>
            </w:pPr>
            <w:r w:rsidRPr="00A403B8">
              <w:rPr>
                <w:rFonts w:eastAsia="Arial" w:cstheme="minorHAnsi"/>
                <w:color w:val="2A2A2A"/>
              </w:rPr>
              <w:t>DD then LD</w:t>
            </w:r>
          </w:p>
          <w:p w14:paraId="1B4D2F13" w14:textId="77777777" w:rsidR="00DC53A5" w:rsidRPr="00A403B8" w:rsidRDefault="00DC53A5" w:rsidP="00BB35FE">
            <w:pPr>
              <w:tabs>
                <w:tab w:val="left" w:pos="2055"/>
              </w:tabs>
              <w:spacing w:after="0"/>
              <w:jc w:val="center"/>
              <w:rPr>
                <w:rFonts w:eastAsia="Arial" w:cstheme="minorHAnsi"/>
                <w:color w:val="2A2A2A"/>
              </w:rPr>
            </w:pPr>
            <w:r w:rsidRPr="00A403B8">
              <w:rPr>
                <w:rFonts w:eastAsia="Arial" w:cstheme="minorHAnsi"/>
                <w:color w:val="2A2A2A"/>
              </w:rPr>
              <w:t>LD then DD</w:t>
            </w:r>
          </w:p>
          <w:p w14:paraId="7B13B57B" w14:textId="77777777" w:rsidR="00DC53A5" w:rsidRPr="00A403B8" w:rsidRDefault="00DC53A5" w:rsidP="00BB35FE">
            <w:pPr>
              <w:tabs>
                <w:tab w:val="left" w:pos="2055"/>
              </w:tabs>
              <w:spacing w:after="0"/>
              <w:jc w:val="center"/>
              <w:rPr>
                <w:rFonts w:eastAsia="Arial" w:cstheme="minorHAnsi"/>
                <w:color w:val="2A2A2A"/>
              </w:rPr>
            </w:pPr>
            <w:r w:rsidRPr="00A403B8">
              <w:rPr>
                <w:rFonts w:eastAsia="Arial" w:cstheme="minorHAnsi"/>
                <w:color w:val="2A2A2A"/>
              </w:rPr>
              <w:t>LD then LD</w:t>
            </w:r>
          </w:p>
        </w:tc>
        <w:tc>
          <w:tcPr>
            <w:tcW w:w="3009" w:type="dxa"/>
            <w:tcBorders>
              <w:top w:val="single" w:sz="6" w:space="0" w:color="2A2A2A"/>
              <w:left w:val="single" w:sz="6" w:space="0" w:color="2A2A2A"/>
              <w:right w:val="single" w:sz="6" w:space="0" w:color="2A2A2A"/>
            </w:tcBorders>
            <w:tcMar>
              <w:top w:w="0" w:type="dxa"/>
              <w:left w:w="0" w:type="dxa"/>
              <w:bottom w:w="0" w:type="dxa"/>
              <w:right w:w="0" w:type="dxa"/>
            </w:tcMar>
            <w:vAlign w:val="center"/>
          </w:tcPr>
          <w:p w14:paraId="3E2617C2" w14:textId="77777777" w:rsidR="00DC53A5" w:rsidRPr="00A403B8" w:rsidRDefault="00DC53A5" w:rsidP="00BB35FE">
            <w:pPr>
              <w:tabs>
                <w:tab w:val="left" w:pos="2055"/>
              </w:tabs>
              <w:spacing w:after="0"/>
              <w:jc w:val="center"/>
              <w:rPr>
                <w:rFonts w:eastAsia="Arial" w:cstheme="minorHAnsi"/>
                <w:color w:val="2A2A2A"/>
              </w:rPr>
            </w:pPr>
            <w:r w:rsidRPr="00A403B8">
              <w:rPr>
                <w:rFonts w:eastAsia="Arial" w:cstheme="minorHAnsi"/>
                <w:color w:val="2A2A2A"/>
              </w:rPr>
              <w:t>82</w:t>
            </w:r>
          </w:p>
          <w:p w14:paraId="566A52DA" w14:textId="77777777" w:rsidR="00DC53A5" w:rsidRPr="00A403B8" w:rsidRDefault="00DC53A5" w:rsidP="00BB35FE">
            <w:pPr>
              <w:tabs>
                <w:tab w:val="left" w:pos="2055"/>
              </w:tabs>
              <w:spacing w:after="0"/>
              <w:jc w:val="center"/>
              <w:rPr>
                <w:rFonts w:eastAsia="Arial" w:cstheme="minorHAnsi"/>
                <w:color w:val="2A2A2A"/>
              </w:rPr>
            </w:pPr>
            <w:r w:rsidRPr="00A403B8">
              <w:rPr>
                <w:rFonts w:eastAsia="Arial" w:cstheme="minorHAnsi"/>
                <w:color w:val="2A2A2A"/>
              </w:rPr>
              <w:t>90</w:t>
            </w:r>
          </w:p>
          <w:p w14:paraId="47F96C2E" w14:textId="77777777" w:rsidR="00DC53A5" w:rsidRPr="00A403B8" w:rsidRDefault="00DC53A5" w:rsidP="00BB35FE">
            <w:pPr>
              <w:tabs>
                <w:tab w:val="left" w:pos="2055"/>
              </w:tabs>
              <w:spacing w:after="0"/>
              <w:jc w:val="center"/>
              <w:rPr>
                <w:rFonts w:eastAsia="Arial" w:cstheme="minorHAnsi"/>
                <w:color w:val="2A2A2A"/>
              </w:rPr>
            </w:pPr>
            <w:r w:rsidRPr="00A403B8">
              <w:rPr>
                <w:rFonts w:eastAsia="Arial" w:cstheme="minorHAnsi"/>
                <w:color w:val="2A2A2A"/>
              </w:rPr>
              <w:t>80</w:t>
            </w:r>
          </w:p>
          <w:p w14:paraId="46B80BA2" w14:textId="77777777" w:rsidR="00DC53A5" w:rsidRPr="00A403B8" w:rsidRDefault="00DC53A5" w:rsidP="00BB35FE">
            <w:pPr>
              <w:tabs>
                <w:tab w:val="left" w:pos="2055"/>
              </w:tabs>
              <w:spacing w:after="0"/>
              <w:jc w:val="center"/>
              <w:rPr>
                <w:rFonts w:eastAsia="Arial" w:cstheme="minorHAnsi"/>
                <w:color w:val="2A2A2A"/>
              </w:rPr>
            </w:pPr>
            <w:r w:rsidRPr="00A403B8">
              <w:rPr>
                <w:rFonts w:eastAsia="Arial" w:cstheme="minorHAnsi"/>
                <w:color w:val="2A2A2A"/>
              </w:rPr>
              <w:t>92</w:t>
            </w:r>
          </w:p>
        </w:tc>
        <w:tc>
          <w:tcPr>
            <w:tcW w:w="3009" w:type="dxa"/>
            <w:tcBorders>
              <w:top w:val="single" w:sz="6" w:space="0" w:color="2A2A2A"/>
              <w:left w:val="single" w:sz="6" w:space="0" w:color="2A2A2A"/>
              <w:right w:val="single" w:sz="6" w:space="0" w:color="2A2A2A"/>
            </w:tcBorders>
            <w:tcMar>
              <w:top w:w="0" w:type="dxa"/>
              <w:left w:w="0" w:type="dxa"/>
              <w:bottom w:w="0" w:type="dxa"/>
              <w:right w:w="0" w:type="dxa"/>
            </w:tcMar>
            <w:vAlign w:val="center"/>
          </w:tcPr>
          <w:p w14:paraId="1DA32769" w14:textId="77777777" w:rsidR="00DC53A5" w:rsidRPr="00A403B8" w:rsidRDefault="00DC53A5" w:rsidP="00BB35FE">
            <w:pPr>
              <w:tabs>
                <w:tab w:val="left" w:pos="2055"/>
              </w:tabs>
              <w:spacing w:after="0"/>
              <w:jc w:val="center"/>
              <w:rPr>
                <w:rFonts w:eastAsia="Arial" w:cstheme="minorHAnsi"/>
                <w:color w:val="2A2A2A"/>
              </w:rPr>
            </w:pPr>
            <w:r w:rsidRPr="00A403B8">
              <w:rPr>
                <w:rFonts w:eastAsia="Arial" w:cstheme="minorHAnsi"/>
                <w:color w:val="2A2A2A"/>
              </w:rPr>
              <w:t>(80 - 84)</w:t>
            </w:r>
          </w:p>
          <w:p w14:paraId="172BADA8" w14:textId="77777777" w:rsidR="00DC53A5" w:rsidRPr="00A403B8" w:rsidRDefault="00DC53A5" w:rsidP="00BB35FE">
            <w:pPr>
              <w:tabs>
                <w:tab w:val="left" w:pos="2055"/>
              </w:tabs>
              <w:spacing w:after="0"/>
              <w:jc w:val="center"/>
              <w:rPr>
                <w:rFonts w:eastAsia="Arial" w:cstheme="minorHAnsi"/>
                <w:color w:val="2A2A2A"/>
              </w:rPr>
            </w:pPr>
            <w:r w:rsidRPr="00A403B8">
              <w:rPr>
                <w:rFonts w:eastAsia="Arial" w:cstheme="minorHAnsi"/>
                <w:color w:val="2A2A2A"/>
              </w:rPr>
              <w:t>(86 - 92)</w:t>
            </w:r>
          </w:p>
          <w:p w14:paraId="01B1B697" w14:textId="77777777" w:rsidR="00DC53A5" w:rsidRPr="00A403B8" w:rsidRDefault="00DC53A5" w:rsidP="00BB35FE">
            <w:pPr>
              <w:tabs>
                <w:tab w:val="left" w:pos="2055"/>
              </w:tabs>
              <w:spacing w:after="0"/>
              <w:jc w:val="center"/>
              <w:rPr>
                <w:rFonts w:eastAsia="Arial" w:cstheme="minorHAnsi"/>
                <w:color w:val="2A2A2A"/>
              </w:rPr>
            </w:pPr>
            <w:r w:rsidRPr="00A403B8">
              <w:rPr>
                <w:rFonts w:eastAsia="Arial" w:cstheme="minorHAnsi"/>
                <w:color w:val="2A2A2A"/>
              </w:rPr>
              <w:t>(75 - 84)</w:t>
            </w:r>
          </w:p>
          <w:p w14:paraId="19B666F2" w14:textId="77777777" w:rsidR="00DC53A5" w:rsidRPr="00A403B8" w:rsidRDefault="00DC53A5" w:rsidP="00BB35FE">
            <w:pPr>
              <w:tabs>
                <w:tab w:val="left" w:pos="2055"/>
              </w:tabs>
              <w:spacing w:after="0"/>
              <w:jc w:val="center"/>
              <w:rPr>
                <w:rFonts w:eastAsia="Arial" w:cstheme="minorHAnsi"/>
                <w:color w:val="2A2A2A"/>
              </w:rPr>
            </w:pPr>
            <w:r w:rsidRPr="00A403B8">
              <w:rPr>
                <w:rFonts w:eastAsia="Arial" w:cstheme="minorHAnsi"/>
                <w:color w:val="2A2A2A"/>
              </w:rPr>
              <w:t>(87 - 95)</w:t>
            </w:r>
          </w:p>
        </w:tc>
      </w:tr>
    </w:tbl>
    <w:p w14:paraId="35194A3C" w14:textId="77777777" w:rsidR="00DC53A5" w:rsidRPr="00A403B8" w:rsidRDefault="00DC53A5" w:rsidP="00DC53A5">
      <w:pPr>
        <w:shd w:val="clear" w:color="auto" w:fill="FFFFFF"/>
        <w:spacing w:after="0"/>
        <w:jc w:val="both"/>
        <w:rPr>
          <w:rFonts w:eastAsia="Arial" w:cstheme="minorHAnsi"/>
          <w:color w:val="2A2A2A"/>
          <w:u w:val="single"/>
        </w:rPr>
      </w:pPr>
    </w:p>
    <w:p w14:paraId="2641B8BD" w14:textId="01C87914" w:rsidR="00DC53A5" w:rsidRPr="00A403B8" w:rsidRDefault="00DC53A5" w:rsidP="00A403B8">
      <w:pPr>
        <w:shd w:val="clear" w:color="auto" w:fill="FFFFFF"/>
        <w:spacing w:line="276" w:lineRule="auto"/>
        <w:jc w:val="both"/>
        <w:rPr>
          <w:rFonts w:eastAsia="Arial" w:cstheme="minorHAnsi"/>
          <w:color w:val="2A2A2A"/>
        </w:rPr>
      </w:pPr>
      <w:r w:rsidRPr="00A403B8">
        <w:rPr>
          <w:rFonts w:eastAsia="Arial" w:cstheme="minorHAnsi"/>
          <w:color w:val="2A2A2A"/>
        </w:rPr>
        <w:t>Finally, it is necessary to consider whether any differences in graft survival may be influenced by HLA mismatch. The level of mismatch in living donation is similar regardless of which number graft (Figure 1</w:t>
      </w:r>
      <w:r w:rsidR="00A403B8">
        <w:rPr>
          <w:rFonts w:eastAsia="Arial" w:cstheme="minorHAnsi"/>
          <w:color w:val="2A2A2A"/>
        </w:rPr>
        <w:t>1</w:t>
      </w:r>
      <w:r w:rsidRPr="00A403B8">
        <w:rPr>
          <w:rFonts w:eastAsia="Arial" w:cstheme="minorHAnsi"/>
          <w:color w:val="2A2A2A"/>
        </w:rPr>
        <w:t>.5) and whether the previous grafts were LD or DD. Subsequent deceased donor transplants exhibit an increase in level 1 mismatch, similar level 2, decrease in level 3, indicating that recipients are not disadvantaged by a higher mismatch at subsequent transplants.</w:t>
      </w:r>
    </w:p>
    <w:p w14:paraId="69CCAE2A" w14:textId="73E80B7A" w:rsidR="00DC53A5" w:rsidRPr="00A403B8" w:rsidRDefault="00DC53A5" w:rsidP="00A403B8">
      <w:pPr>
        <w:shd w:val="clear" w:color="auto" w:fill="FFFFFF"/>
        <w:spacing w:line="276" w:lineRule="auto"/>
        <w:jc w:val="both"/>
        <w:rPr>
          <w:rFonts w:eastAsia="Arial" w:cstheme="minorHAnsi"/>
          <w:color w:val="2A2A2A"/>
        </w:rPr>
      </w:pPr>
      <w:r w:rsidRPr="00A403B8">
        <w:rPr>
          <w:rFonts w:eastAsia="Arial" w:cstheme="minorHAnsi"/>
          <w:b/>
          <w:color w:val="2A2A2A"/>
        </w:rPr>
        <w:t>Figure 1</w:t>
      </w:r>
      <w:r w:rsidR="00A403B8">
        <w:rPr>
          <w:rFonts w:eastAsia="Arial" w:cstheme="minorHAnsi"/>
          <w:b/>
          <w:color w:val="2A2A2A"/>
        </w:rPr>
        <w:t>1</w:t>
      </w:r>
      <w:r w:rsidRPr="00A403B8">
        <w:rPr>
          <w:rFonts w:eastAsia="Arial" w:cstheme="minorHAnsi"/>
          <w:b/>
          <w:color w:val="2A2A2A"/>
        </w:rPr>
        <w:t xml:space="preserve">.5 </w:t>
      </w:r>
      <w:r w:rsidRPr="00A403B8">
        <w:rPr>
          <w:rFonts w:eastAsia="Arial" w:cstheme="minorHAnsi"/>
          <w:color w:val="2A2A2A"/>
        </w:rPr>
        <w:t>– HLA level by graft number and donor type, UK kidney only transplants 2016-2020</w:t>
      </w:r>
    </w:p>
    <w:p w14:paraId="6C427159" w14:textId="77777777" w:rsidR="00DC53A5" w:rsidRPr="00A403B8" w:rsidRDefault="00DC53A5" w:rsidP="00DC53A5">
      <w:pPr>
        <w:jc w:val="both"/>
        <w:rPr>
          <w:rFonts w:eastAsia="Arial" w:cstheme="minorHAnsi"/>
          <w:color w:val="2A2A2A"/>
          <w:u w:val="single"/>
        </w:rPr>
      </w:pPr>
      <w:r w:rsidRPr="00A403B8">
        <w:rPr>
          <w:rFonts w:eastAsia="Arial" w:cstheme="minorHAnsi"/>
          <w:noProof/>
          <w:color w:val="2A2A2A"/>
          <w:u w:val="single"/>
        </w:rPr>
        <w:lastRenderedPageBreak/>
        <w:drawing>
          <wp:inline distT="114300" distB="114300" distL="114300" distR="114300" wp14:anchorId="68B11A25" wp14:editId="6D44DB79">
            <wp:extent cx="3776663" cy="2277243"/>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5"/>
                    <a:srcRect/>
                    <a:stretch>
                      <a:fillRect/>
                    </a:stretch>
                  </pic:blipFill>
                  <pic:spPr>
                    <a:xfrm>
                      <a:off x="0" y="0"/>
                      <a:ext cx="3776663" cy="2277243"/>
                    </a:xfrm>
                    <a:prstGeom prst="rect">
                      <a:avLst/>
                    </a:prstGeom>
                    <a:ln/>
                  </pic:spPr>
                </pic:pic>
              </a:graphicData>
            </a:graphic>
          </wp:inline>
        </w:drawing>
      </w:r>
    </w:p>
    <w:p w14:paraId="4C035958" w14:textId="342F43F5" w:rsidR="00DC53A5" w:rsidRPr="00A403B8" w:rsidRDefault="00DC53A5" w:rsidP="0070783B">
      <w:pPr>
        <w:pStyle w:val="Heading3"/>
        <w:rPr>
          <w:rFonts w:eastAsia="Arial"/>
        </w:rPr>
      </w:pPr>
      <w:bookmarkStart w:id="187" w:name="_Toc128330090"/>
      <w:r w:rsidRPr="00A403B8">
        <w:rPr>
          <w:rFonts w:eastAsia="Arial"/>
        </w:rPr>
        <w:t>1</w:t>
      </w:r>
      <w:r w:rsidR="0070783B">
        <w:rPr>
          <w:rFonts w:eastAsia="Arial"/>
        </w:rPr>
        <w:t>1</w:t>
      </w:r>
      <w:r w:rsidRPr="00A403B8">
        <w:rPr>
          <w:rFonts w:eastAsia="Arial"/>
        </w:rPr>
        <w:t>.5 Conclusion</w:t>
      </w:r>
      <w:bookmarkEnd w:id="187"/>
    </w:p>
    <w:p w14:paraId="3787621B" w14:textId="63D40416" w:rsidR="00DC53A5" w:rsidRPr="00A403B8" w:rsidRDefault="00DC53A5" w:rsidP="00DC53A5">
      <w:pPr>
        <w:jc w:val="both"/>
        <w:rPr>
          <w:rFonts w:eastAsia="Arial" w:cstheme="minorHAnsi"/>
          <w:color w:val="2A2A2A"/>
        </w:rPr>
      </w:pPr>
      <w:r w:rsidRPr="00A403B8">
        <w:rPr>
          <w:rFonts w:eastAsia="Arial" w:cstheme="minorHAnsi"/>
          <w:color w:val="2A2A2A"/>
        </w:rPr>
        <w:t>RWFT make up a significant number of UK transplant patients and for those that are suitable</w:t>
      </w:r>
      <w:r w:rsidR="00E95399">
        <w:rPr>
          <w:rFonts w:eastAsia="Arial" w:cstheme="minorHAnsi"/>
          <w:color w:val="2A2A2A"/>
        </w:rPr>
        <w:t>,</w:t>
      </w:r>
      <w:r w:rsidRPr="00A403B8">
        <w:rPr>
          <w:rFonts w:eastAsia="Arial" w:cstheme="minorHAnsi"/>
          <w:color w:val="2A2A2A"/>
        </w:rPr>
        <w:t xml:space="preserve"> a repeat transplant offers graft and patient survival comparable to a first transplant.</w:t>
      </w:r>
    </w:p>
    <w:p w14:paraId="5FCB772E" w14:textId="77777777" w:rsidR="00DC53A5" w:rsidRPr="00A403B8" w:rsidRDefault="00DC53A5" w:rsidP="0070783B">
      <w:pPr>
        <w:pStyle w:val="Heading2"/>
        <w:rPr>
          <w:rFonts w:eastAsia="Arial"/>
        </w:rPr>
      </w:pPr>
      <w:bookmarkStart w:id="188" w:name="_Toc128330091"/>
      <w:r w:rsidRPr="00A403B8">
        <w:rPr>
          <w:rFonts w:eastAsia="Arial"/>
        </w:rPr>
        <w:t>References</w:t>
      </w:r>
      <w:bookmarkEnd w:id="188"/>
    </w:p>
    <w:p w14:paraId="1BA80398" w14:textId="77777777" w:rsidR="00DC53A5" w:rsidRPr="00A403B8" w:rsidRDefault="00000000">
      <w:pPr>
        <w:numPr>
          <w:ilvl w:val="0"/>
          <w:numId w:val="31"/>
        </w:numPr>
        <w:spacing w:after="0" w:line="276" w:lineRule="auto"/>
        <w:ind w:left="0" w:firstLine="0"/>
        <w:jc w:val="both"/>
        <w:rPr>
          <w:rFonts w:eastAsia="Arial" w:cstheme="minorHAnsi"/>
          <w:color w:val="2A2A2A"/>
        </w:rPr>
      </w:pPr>
      <w:hyperlink r:id="rId76">
        <w:r w:rsidR="00DC53A5" w:rsidRPr="00A403B8">
          <w:rPr>
            <w:rFonts w:eastAsia="Arial" w:cstheme="minorHAnsi"/>
            <w:color w:val="2A2A2A"/>
            <w:u w:val="single"/>
          </w:rPr>
          <w:t>https://ukkidney.org/sites/renal.org/files/publication/file-attachments/23rd_UKRR_ANNUAL_REPORT_0.pdf</w:t>
        </w:r>
      </w:hyperlink>
    </w:p>
    <w:p w14:paraId="179E9691" w14:textId="77777777" w:rsidR="00DC53A5" w:rsidRPr="00A403B8" w:rsidRDefault="00DC53A5">
      <w:pPr>
        <w:numPr>
          <w:ilvl w:val="0"/>
          <w:numId w:val="31"/>
        </w:numPr>
        <w:spacing w:after="0" w:line="276" w:lineRule="auto"/>
        <w:ind w:left="0" w:firstLine="0"/>
        <w:jc w:val="both"/>
        <w:rPr>
          <w:rFonts w:eastAsia="Arial" w:cstheme="minorHAnsi"/>
          <w:color w:val="2A2A2A"/>
        </w:rPr>
      </w:pPr>
      <w:r w:rsidRPr="00A403B8">
        <w:rPr>
          <w:rFonts w:eastAsia="Arial" w:cstheme="minorHAnsi"/>
          <w:color w:val="2A2A2A"/>
        </w:rPr>
        <w:t>United S Renal Data System. USRDS 2011 Annual Data Report. Bethesda, MD: National Institutes of Health, National Institute of Diabetes and Digestive and Kidney Diseases, 2015</w:t>
      </w:r>
    </w:p>
    <w:p w14:paraId="3A0302EE" w14:textId="77777777" w:rsidR="00DC53A5" w:rsidRPr="00A403B8" w:rsidRDefault="00DC53A5">
      <w:pPr>
        <w:numPr>
          <w:ilvl w:val="0"/>
          <w:numId w:val="31"/>
        </w:numPr>
        <w:spacing w:after="0" w:line="276" w:lineRule="auto"/>
        <w:ind w:left="0" w:firstLine="0"/>
        <w:jc w:val="both"/>
        <w:rPr>
          <w:rFonts w:eastAsia="Arial" w:cstheme="minorHAnsi"/>
          <w:color w:val="2A2A2A"/>
        </w:rPr>
      </w:pPr>
      <w:r w:rsidRPr="00280BC8">
        <w:rPr>
          <w:rFonts w:eastAsia="Arial" w:cstheme="minorHAnsi"/>
          <w:color w:val="2A2A2A"/>
          <w:lang w:val="de-DE"/>
        </w:rPr>
        <w:t xml:space="preserve">Kaplan B, Meier-Kriesche H-U. </w:t>
      </w:r>
      <w:r w:rsidRPr="00A403B8">
        <w:rPr>
          <w:rFonts w:eastAsia="Arial" w:cstheme="minorHAnsi"/>
          <w:color w:val="2A2A2A"/>
        </w:rPr>
        <w:t>Death after graft loss: an important late study endpoint in kidney transplantation. Am J Transplant 2002; 2: 970–974</w:t>
      </w:r>
    </w:p>
    <w:p w14:paraId="20943E87" w14:textId="77777777" w:rsidR="00DC53A5" w:rsidRPr="00A403B8" w:rsidRDefault="00DC53A5">
      <w:pPr>
        <w:numPr>
          <w:ilvl w:val="0"/>
          <w:numId w:val="31"/>
        </w:numPr>
        <w:spacing w:after="0" w:line="276" w:lineRule="auto"/>
        <w:ind w:left="0" w:firstLine="0"/>
        <w:jc w:val="both"/>
        <w:rPr>
          <w:rFonts w:eastAsia="Arial" w:cstheme="minorHAnsi"/>
          <w:color w:val="2A2A2A"/>
        </w:rPr>
      </w:pPr>
      <w:r w:rsidRPr="00A403B8">
        <w:rPr>
          <w:rFonts w:eastAsia="Arial" w:cstheme="minorHAnsi"/>
          <w:color w:val="2A2A2A"/>
          <w:highlight w:val="white"/>
        </w:rPr>
        <w:t xml:space="preserve">Rameez Kabani, Robert R. Quinn, Suetonia Palmer, Adriane M. Lewin, Serdar Yilmaz, Lee A. Tibbles, Diane L. Lorenzetti, Giovanni F.M. Strippoli, Kevin McLaughlin, Pietro Ravani, Alberta Kidney Disease Network, Risk of death following kidney allograft failure: a systematic review and meta-analysis of cohort studies, </w:t>
      </w:r>
      <w:r w:rsidRPr="00A403B8">
        <w:rPr>
          <w:rFonts w:eastAsia="Arial" w:cstheme="minorHAnsi"/>
          <w:i/>
          <w:color w:val="2A2A2A"/>
        </w:rPr>
        <w:t>Nephrology Dialysis Transplantation</w:t>
      </w:r>
      <w:r w:rsidRPr="00A403B8">
        <w:rPr>
          <w:rFonts w:eastAsia="Arial" w:cstheme="minorHAnsi"/>
          <w:color w:val="2A2A2A"/>
        </w:rPr>
        <w:t>, Volume 29, Issue 9, September 2014, 1778–1786</w:t>
      </w:r>
    </w:p>
    <w:p w14:paraId="722F8141" w14:textId="3C55CD45" w:rsidR="00DC53A5" w:rsidRPr="00A403B8" w:rsidRDefault="00DC53A5">
      <w:pPr>
        <w:numPr>
          <w:ilvl w:val="0"/>
          <w:numId w:val="31"/>
        </w:numPr>
        <w:spacing w:after="0" w:line="276" w:lineRule="auto"/>
        <w:ind w:left="0" w:firstLine="0"/>
        <w:jc w:val="both"/>
        <w:rPr>
          <w:rFonts w:eastAsia="Arial" w:cstheme="minorHAnsi"/>
          <w:color w:val="2A2A2A"/>
        </w:rPr>
      </w:pPr>
      <w:r w:rsidRPr="00280BC8">
        <w:rPr>
          <w:rFonts w:eastAsia="Arial" w:cstheme="minorHAnsi"/>
          <w:color w:val="2A2A2A"/>
          <w:lang w:val="da-DK"/>
        </w:rPr>
        <w:t xml:space="preserve">Robinson BM, Zhang J, Morgenstern H, et al. </w:t>
      </w:r>
      <w:r w:rsidRPr="00A403B8">
        <w:rPr>
          <w:rFonts w:eastAsia="Arial" w:cstheme="minorHAnsi"/>
          <w:color w:val="2A2A2A"/>
        </w:rPr>
        <w:t>Worldwide, mortality risk is high soon after initiation of hemodialysis, Kidney Int, 2014, vol. 85 (pg. 158-165)</w:t>
      </w:r>
    </w:p>
    <w:p w14:paraId="237E8E01" w14:textId="0ED7966E" w:rsidR="00DC53A5" w:rsidRPr="00A403B8" w:rsidRDefault="00DC53A5">
      <w:pPr>
        <w:numPr>
          <w:ilvl w:val="0"/>
          <w:numId w:val="31"/>
        </w:numPr>
        <w:spacing w:after="0" w:line="276" w:lineRule="auto"/>
        <w:ind w:left="0" w:firstLine="0"/>
        <w:jc w:val="both"/>
        <w:rPr>
          <w:rFonts w:eastAsia="Arial" w:cstheme="minorHAnsi"/>
          <w:color w:val="2A2A2A"/>
        </w:rPr>
      </w:pPr>
      <w:r w:rsidRPr="00A403B8">
        <w:rPr>
          <w:rFonts w:eastAsia="Arial" w:cstheme="minorHAnsi"/>
          <w:color w:val="2A2A2A"/>
        </w:rPr>
        <w:t>Varas J, Perez-Saez MJ, Ramos R et al. Returning to haemodialysis after kidney allograft failure: a survival study with propensity score matching. Nephrol Dial Transplant 2019; 34: 667–672</w:t>
      </w:r>
    </w:p>
    <w:p w14:paraId="491A8BB6" w14:textId="77777777" w:rsidR="00DC53A5" w:rsidRPr="00A403B8" w:rsidRDefault="00DC53A5">
      <w:pPr>
        <w:numPr>
          <w:ilvl w:val="0"/>
          <w:numId w:val="31"/>
        </w:numPr>
        <w:spacing w:after="0" w:line="276" w:lineRule="auto"/>
        <w:ind w:left="0" w:firstLine="0"/>
        <w:jc w:val="both"/>
        <w:rPr>
          <w:rFonts w:eastAsia="Arial" w:cstheme="minorHAnsi"/>
          <w:color w:val="2A2A2A"/>
        </w:rPr>
      </w:pPr>
      <w:r w:rsidRPr="00A403B8">
        <w:rPr>
          <w:rFonts w:eastAsia="Arial" w:cstheme="minorHAnsi"/>
          <w:color w:val="2A2A2A"/>
        </w:rPr>
        <w:t>Akalin, E. and Pascual, M., 2006. Sensitization after kidney transplantation. Clinical journal of the American Society of Nephrology, 1(3), pp.433-440.</w:t>
      </w:r>
    </w:p>
    <w:p w14:paraId="1A6EACAC" w14:textId="77777777" w:rsidR="00DC53A5" w:rsidRPr="00A403B8" w:rsidRDefault="00DC53A5">
      <w:pPr>
        <w:numPr>
          <w:ilvl w:val="0"/>
          <w:numId w:val="31"/>
        </w:numPr>
        <w:spacing w:after="0" w:line="276" w:lineRule="auto"/>
        <w:ind w:left="0" w:firstLine="0"/>
        <w:jc w:val="both"/>
        <w:rPr>
          <w:rFonts w:eastAsia="Arial" w:cstheme="minorHAnsi"/>
          <w:color w:val="2A2A2A"/>
        </w:rPr>
      </w:pPr>
      <w:r w:rsidRPr="00A403B8">
        <w:rPr>
          <w:rFonts w:eastAsia="Arial" w:cstheme="minorHAnsi"/>
          <w:color w:val="2A2A2A"/>
        </w:rPr>
        <w:t>Rao PS, Ojo A: Organ retransplantation in the United States: trends and implications. Clin Transpl. 2008, 2008: 57-67</w:t>
      </w:r>
    </w:p>
    <w:p w14:paraId="22E2F703" w14:textId="77777777" w:rsidR="00DC53A5" w:rsidRPr="00A403B8" w:rsidRDefault="00DC53A5">
      <w:pPr>
        <w:numPr>
          <w:ilvl w:val="0"/>
          <w:numId w:val="31"/>
        </w:numPr>
        <w:spacing w:after="0" w:line="276" w:lineRule="auto"/>
        <w:ind w:left="0" w:firstLine="0"/>
        <w:jc w:val="both"/>
        <w:rPr>
          <w:rFonts w:eastAsia="Arial" w:cstheme="minorHAnsi"/>
          <w:color w:val="2A2A2A"/>
        </w:rPr>
      </w:pPr>
      <w:r w:rsidRPr="00A403B8">
        <w:rPr>
          <w:rFonts w:eastAsia="Arial" w:cstheme="minorHAnsi"/>
          <w:color w:val="2A2A2A"/>
          <w:highlight w:val="white"/>
        </w:rPr>
        <w:t>Magee JC, Barr ML, Basadonna GP, Johnson MR, Mahadevan S, McBride MA, Schaubel DE, Leichtman AB: Repeat organ transplantation in the United States, 1996–2005. Am J Transplant. 2007, 7: 1424-1433. 10.1111/j.1600-6143.2007.</w:t>
      </w:r>
      <w:proofErr w:type="gramStart"/>
      <w:r w:rsidRPr="00A403B8">
        <w:rPr>
          <w:rFonts w:eastAsia="Arial" w:cstheme="minorHAnsi"/>
          <w:color w:val="2A2A2A"/>
          <w:highlight w:val="white"/>
        </w:rPr>
        <w:t>01786.x.</w:t>
      </w:r>
      <w:proofErr w:type="gramEnd"/>
    </w:p>
    <w:p w14:paraId="782AEE3A" w14:textId="77777777" w:rsidR="00DC53A5" w:rsidRPr="00A403B8" w:rsidRDefault="00000000">
      <w:pPr>
        <w:numPr>
          <w:ilvl w:val="0"/>
          <w:numId w:val="31"/>
        </w:numPr>
        <w:spacing w:after="0" w:line="276" w:lineRule="auto"/>
        <w:ind w:left="0" w:firstLine="0"/>
        <w:jc w:val="both"/>
        <w:rPr>
          <w:rFonts w:eastAsia="Arial" w:cstheme="minorHAnsi"/>
          <w:color w:val="2A2A2A"/>
        </w:rPr>
      </w:pPr>
      <w:hyperlink r:id="rId77">
        <w:r w:rsidR="00DC53A5" w:rsidRPr="00A403B8">
          <w:rPr>
            <w:rFonts w:eastAsia="Arial" w:cstheme="minorHAnsi"/>
            <w:color w:val="2A2A2A"/>
            <w:u w:val="single"/>
          </w:rPr>
          <w:t>https://usrds.org/media/1731/v2_c06_transplant_18_usrds.pdf</w:t>
        </w:r>
      </w:hyperlink>
    </w:p>
    <w:p w14:paraId="539D9B79" w14:textId="13BA7557" w:rsidR="00C351F0" w:rsidRPr="00480931" w:rsidRDefault="00DC53A5" w:rsidP="00480931">
      <w:pPr>
        <w:numPr>
          <w:ilvl w:val="0"/>
          <w:numId w:val="31"/>
        </w:numPr>
        <w:spacing w:after="0" w:line="276" w:lineRule="auto"/>
        <w:ind w:left="0" w:firstLine="0"/>
        <w:jc w:val="both"/>
        <w:rPr>
          <w:rFonts w:eastAsia="Arial" w:cstheme="minorHAnsi"/>
          <w:color w:val="2A2A2A"/>
        </w:rPr>
      </w:pPr>
      <w:r w:rsidRPr="00A403B8">
        <w:rPr>
          <w:rFonts w:eastAsia="Roboto" w:cstheme="minorHAnsi"/>
          <w:color w:val="2A2A2A"/>
          <w:highlight w:val="white"/>
        </w:rPr>
        <w:t>Kainz, A., Kammer, M., Reindl-Schwaighofer, R., Strohmaier, S., Petr, V., Viklicky, O., Abramowicz, D., Naik, M., Mayer, G. and Oberbauer, R., 2022. Waiting time for second kidney transplantation and mortality. Clinical Journal of the American Society of Nephrology, 17(1), pp.90-97</w:t>
      </w:r>
    </w:p>
    <w:sectPr w:rsidR="00C351F0" w:rsidRPr="00480931" w:rsidSect="000B3FF9">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C6F33"/>
    <w:multiLevelType w:val="multilevel"/>
    <w:tmpl w:val="A760BC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6A19D7"/>
    <w:multiLevelType w:val="hybridMultilevel"/>
    <w:tmpl w:val="EA4AAAD6"/>
    <w:styleLink w:val="ImportedStyle12"/>
    <w:lvl w:ilvl="0" w:tplc="629C592E">
      <w:start w:val="1"/>
      <w:numFmt w:val="lowerLetter"/>
      <w:lvlText w:val="%1."/>
      <w:lvlJc w:val="left"/>
      <w:pPr>
        <w:ind w:left="1080" w:hanging="360"/>
      </w:pPr>
      <w:rPr>
        <w:rFonts w:ascii="Calibri" w:eastAsia="Arial Unicode MS" w:hAnsi="Calibri" w:cs="Calibri"/>
        <w:caps w:val="0"/>
        <w:smallCaps w:val="0"/>
        <w:strike w:val="0"/>
        <w:dstrike w:val="0"/>
        <w:outline w:val="0"/>
        <w:emboss w:val="0"/>
        <w:imprint w:val="0"/>
        <w:spacing w:val="0"/>
        <w:w w:val="100"/>
        <w:kern w:val="0"/>
        <w:position w:val="0"/>
        <w:highlight w:val="none"/>
        <w:vertAlign w:val="baseline"/>
      </w:rPr>
    </w:lvl>
    <w:lvl w:ilvl="1" w:tplc="A522879C">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D9ECC68">
      <w:start w:val="1"/>
      <w:numFmt w:val="lowerRoman"/>
      <w:lvlText w:val="%3."/>
      <w:lvlJc w:val="left"/>
      <w:pPr>
        <w:ind w:left="252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92EF654">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A548168">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710E70E">
      <w:start w:val="1"/>
      <w:numFmt w:val="lowerRoman"/>
      <w:lvlText w:val="%6."/>
      <w:lvlJc w:val="left"/>
      <w:pPr>
        <w:ind w:left="468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0C07762">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5863BB2">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EF4FD00">
      <w:start w:val="1"/>
      <w:numFmt w:val="lowerRoman"/>
      <w:lvlText w:val="%9."/>
      <w:lvlJc w:val="left"/>
      <w:pPr>
        <w:ind w:left="684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54715B5"/>
    <w:multiLevelType w:val="multilevel"/>
    <w:tmpl w:val="CCB85B64"/>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2E4EBD"/>
    <w:multiLevelType w:val="hybridMultilevel"/>
    <w:tmpl w:val="2FA65B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CC7FE7"/>
    <w:multiLevelType w:val="multilevel"/>
    <w:tmpl w:val="22A4706E"/>
    <w:lvl w:ilvl="0">
      <w:start w:val="5"/>
      <w:numFmt w:val="decimal"/>
      <w:lvlText w:val="%1"/>
      <w:lvlJc w:val="left"/>
      <w:pPr>
        <w:ind w:left="480" w:hanging="480"/>
      </w:pPr>
      <w:rPr>
        <w:rFonts w:eastAsiaTheme="majorEastAsia" w:hint="default"/>
      </w:rPr>
    </w:lvl>
    <w:lvl w:ilvl="1">
      <w:start w:val="2"/>
      <w:numFmt w:val="decimal"/>
      <w:lvlText w:val="%1.%2"/>
      <w:lvlJc w:val="left"/>
      <w:pPr>
        <w:ind w:left="480" w:hanging="480"/>
      </w:pPr>
      <w:rPr>
        <w:rFonts w:eastAsiaTheme="majorEastAsia" w:hint="default"/>
      </w:rPr>
    </w:lvl>
    <w:lvl w:ilvl="2">
      <w:start w:val="3"/>
      <w:numFmt w:val="decimal"/>
      <w:lvlText w:val="%1.%2.%3"/>
      <w:lvlJc w:val="left"/>
      <w:pPr>
        <w:ind w:left="720" w:hanging="720"/>
      </w:pPr>
      <w:rPr>
        <w:rFonts w:eastAsiaTheme="majorEastAsia" w:hint="default"/>
      </w:rPr>
    </w:lvl>
    <w:lvl w:ilvl="3">
      <w:start w:val="1"/>
      <w:numFmt w:val="decimal"/>
      <w:lvlText w:val="%1.%2.%3.%4"/>
      <w:lvlJc w:val="left"/>
      <w:pPr>
        <w:ind w:left="720" w:hanging="72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080" w:hanging="108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440" w:hanging="1440"/>
      </w:pPr>
      <w:rPr>
        <w:rFonts w:eastAsiaTheme="majorEastAsia" w:hint="default"/>
      </w:rPr>
    </w:lvl>
    <w:lvl w:ilvl="8">
      <w:start w:val="1"/>
      <w:numFmt w:val="decimal"/>
      <w:lvlText w:val="%1.%2.%3.%4.%5.%6.%7.%8.%9"/>
      <w:lvlJc w:val="left"/>
      <w:pPr>
        <w:ind w:left="1440" w:hanging="1440"/>
      </w:pPr>
      <w:rPr>
        <w:rFonts w:eastAsiaTheme="majorEastAsia" w:hint="default"/>
      </w:rPr>
    </w:lvl>
  </w:abstractNum>
  <w:abstractNum w:abstractNumId="5" w15:restartNumberingAfterBreak="0">
    <w:nsid w:val="09F10CBE"/>
    <w:multiLevelType w:val="hybridMultilevel"/>
    <w:tmpl w:val="FBC6904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B9E6E7B"/>
    <w:multiLevelType w:val="hybridMultilevel"/>
    <w:tmpl w:val="8BBC3E9C"/>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0E616192"/>
    <w:multiLevelType w:val="hybridMultilevel"/>
    <w:tmpl w:val="F24C002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08B5DD2"/>
    <w:multiLevelType w:val="multilevel"/>
    <w:tmpl w:val="24285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0BB7CBA"/>
    <w:multiLevelType w:val="multilevel"/>
    <w:tmpl w:val="9F68E3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1896662"/>
    <w:multiLevelType w:val="hybridMultilevel"/>
    <w:tmpl w:val="99D05610"/>
    <w:lvl w:ilvl="0" w:tplc="C1EE7212">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4A4018E"/>
    <w:multiLevelType w:val="hybridMultilevel"/>
    <w:tmpl w:val="99E45E5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63A6FC9"/>
    <w:multiLevelType w:val="hybridMultilevel"/>
    <w:tmpl w:val="A406E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624794"/>
    <w:multiLevelType w:val="multilevel"/>
    <w:tmpl w:val="5C243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BC628E9"/>
    <w:multiLevelType w:val="multilevel"/>
    <w:tmpl w:val="438001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1C632C36"/>
    <w:multiLevelType w:val="multilevel"/>
    <w:tmpl w:val="8DE2C2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D2A7EA1"/>
    <w:multiLevelType w:val="multilevel"/>
    <w:tmpl w:val="87EE26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F40054C"/>
    <w:multiLevelType w:val="hybridMultilevel"/>
    <w:tmpl w:val="68227474"/>
    <w:lvl w:ilvl="0" w:tplc="469E81CA">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AE0418"/>
    <w:multiLevelType w:val="hybridMultilevel"/>
    <w:tmpl w:val="7092030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FBB7A52"/>
    <w:multiLevelType w:val="hybridMultilevel"/>
    <w:tmpl w:val="CAEE7F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0657072"/>
    <w:multiLevelType w:val="multilevel"/>
    <w:tmpl w:val="28523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0C15755"/>
    <w:multiLevelType w:val="hybridMultilevel"/>
    <w:tmpl w:val="E3A6D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2AB34C5"/>
    <w:multiLevelType w:val="hybridMultilevel"/>
    <w:tmpl w:val="65D41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E679A4"/>
    <w:multiLevelType w:val="multilevel"/>
    <w:tmpl w:val="D2B042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259623E8"/>
    <w:multiLevelType w:val="hybridMultilevel"/>
    <w:tmpl w:val="73B0C9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29FF63A3"/>
    <w:multiLevelType w:val="hybridMultilevel"/>
    <w:tmpl w:val="26780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991F00"/>
    <w:multiLevelType w:val="hybridMultilevel"/>
    <w:tmpl w:val="8E0C026E"/>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34F26D6A"/>
    <w:multiLevelType w:val="hybridMultilevel"/>
    <w:tmpl w:val="7B805D20"/>
    <w:lvl w:ilvl="0" w:tplc="08090003">
      <w:start w:val="1"/>
      <w:numFmt w:val="bullet"/>
      <w:lvlText w:val="o"/>
      <w:lvlJc w:val="left"/>
      <w:pPr>
        <w:ind w:left="1069" w:hanging="360"/>
      </w:pPr>
      <w:rPr>
        <w:rFonts w:ascii="Courier New" w:hAnsi="Courier New" w:cs="Courier New"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8" w15:restartNumberingAfterBreak="0">
    <w:nsid w:val="350E0BB5"/>
    <w:multiLevelType w:val="hybridMultilevel"/>
    <w:tmpl w:val="8410BB6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6C34DF"/>
    <w:multiLevelType w:val="hybridMultilevel"/>
    <w:tmpl w:val="34446100"/>
    <w:styleLink w:val="ImportedStyle15"/>
    <w:lvl w:ilvl="0" w:tplc="D426724E">
      <w:start w:val="1"/>
      <w:numFmt w:val="lowerLetter"/>
      <w:lvlText w:val="%1."/>
      <w:lvlJc w:val="left"/>
      <w:pPr>
        <w:ind w:left="1134" w:hanging="425"/>
      </w:pPr>
      <w:rPr>
        <w:rFonts w:ascii="Calibri" w:eastAsia="Arial Unicode MS" w:hAnsi="Calibri" w:cs="Calibri"/>
        <w:caps w:val="0"/>
        <w:smallCaps w:val="0"/>
        <w:strike w:val="0"/>
        <w:dstrike w:val="0"/>
        <w:outline w:val="0"/>
        <w:emboss w:val="0"/>
        <w:imprint w:val="0"/>
        <w:spacing w:val="0"/>
        <w:w w:val="100"/>
        <w:kern w:val="0"/>
        <w:position w:val="0"/>
        <w:highlight w:val="none"/>
        <w:vertAlign w:val="baseline"/>
      </w:rPr>
    </w:lvl>
    <w:lvl w:ilvl="1" w:tplc="B24C7C66">
      <w:start w:val="1"/>
      <w:numFmt w:val="lowerLetter"/>
      <w:lvlText w:val="%2."/>
      <w:lvlJc w:val="left"/>
      <w:pPr>
        <w:ind w:left="1854" w:hanging="1136"/>
      </w:pPr>
      <w:rPr>
        <w:rFonts w:hAnsi="Arial Unicode MS"/>
        <w:caps w:val="0"/>
        <w:smallCaps w:val="0"/>
        <w:strike w:val="0"/>
        <w:dstrike w:val="0"/>
        <w:outline w:val="0"/>
        <w:emboss w:val="0"/>
        <w:imprint w:val="0"/>
        <w:spacing w:val="0"/>
        <w:w w:val="100"/>
        <w:kern w:val="0"/>
        <w:position w:val="0"/>
        <w:highlight w:val="none"/>
        <w:vertAlign w:val="baseline"/>
      </w:rPr>
    </w:lvl>
    <w:lvl w:ilvl="2" w:tplc="EC9A50BE">
      <w:start w:val="1"/>
      <w:numFmt w:val="lowerRoman"/>
      <w:lvlText w:val="%3."/>
      <w:lvlJc w:val="left"/>
      <w:pPr>
        <w:ind w:left="2574" w:hanging="1078"/>
      </w:pPr>
      <w:rPr>
        <w:rFonts w:hAnsi="Arial Unicode MS"/>
        <w:caps w:val="0"/>
        <w:smallCaps w:val="0"/>
        <w:strike w:val="0"/>
        <w:dstrike w:val="0"/>
        <w:outline w:val="0"/>
        <w:emboss w:val="0"/>
        <w:imprint w:val="0"/>
        <w:spacing w:val="0"/>
        <w:w w:val="100"/>
        <w:kern w:val="0"/>
        <w:position w:val="0"/>
        <w:highlight w:val="none"/>
        <w:vertAlign w:val="baseline"/>
      </w:rPr>
    </w:lvl>
    <w:lvl w:ilvl="3" w:tplc="12F81914">
      <w:start w:val="1"/>
      <w:numFmt w:val="decimal"/>
      <w:lvlText w:val="%4."/>
      <w:lvlJc w:val="left"/>
      <w:pPr>
        <w:ind w:left="3294" w:hanging="1136"/>
      </w:pPr>
      <w:rPr>
        <w:rFonts w:hAnsi="Arial Unicode MS"/>
        <w:caps w:val="0"/>
        <w:smallCaps w:val="0"/>
        <w:strike w:val="0"/>
        <w:dstrike w:val="0"/>
        <w:outline w:val="0"/>
        <w:emboss w:val="0"/>
        <w:imprint w:val="0"/>
        <w:spacing w:val="0"/>
        <w:w w:val="100"/>
        <w:kern w:val="0"/>
        <w:position w:val="0"/>
        <w:highlight w:val="none"/>
        <w:vertAlign w:val="baseline"/>
      </w:rPr>
    </w:lvl>
    <w:lvl w:ilvl="4" w:tplc="57E6A770">
      <w:start w:val="1"/>
      <w:numFmt w:val="lowerLetter"/>
      <w:lvlText w:val="%5."/>
      <w:lvlJc w:val="left"/>
      <w:pPr>
        <w:ind w:left="4014" w:hanging="1136"/>
      </w:pPr>
      <w:rPr>
        <w:rFonts w:hAnsi="Arial Unicode MS"/>
        <w:caps w:val="0"/>
        <w:smallCaps w:val="0"/>
        <w:strike w:val="0"/>
        <w:dstrike w:val="0"/>
        <w:outline w:val="0"/>
        <w:emboss w:val="0"/>
        <w:imprint w:val="0"/>
        <w:spacing w:val="0"/>
        <w:w w:val="100"/>
        <w:kern w:val="0"/>
        <w:position w:val="0"/>
        <w:highlight w:val="none"/>
        <w:vertAlign w:val="baseline"/>
      </w:rPr>
    </w:lvl>
    <w:lvl w:ilvl="5" w:tplc="E7AC733E">
      <w:start w:val="1"/>
      <w:numFmt w:val="lowerRoman"/>
      <w:lvlText w:val="%6."/>
      <w:lvlJc w:val="left"/>
      <w:pPr>
        <w:ind w:left="4734" w:hanging="1078"/>
      </w:pPr>
      <w:rPr>
        <w:rFonts w:hAnsi="Arial Unicode MS"/>
        <w:caps w:val="0"/>
        <w:smallCaps w:val="0"/>
        <w:strike w:val="0"/>
        <w:dstrike w:val="0"/>
        <w:outline w:val="0"/>
        <w:emboss w:val="0"/>
        <w:imprint w:val="0"/>
        <w:spacing w:val="0"/>
        <w:w w:val="100"/>
        <w:kern w:val="0"/>
        <w:position w:val="0"/>
        <w:highlight w:val="none"/>
        <w:vertAlign w:val="baseline"/>
      </w:rPr>
    </w:lvl>
    <w:lvl w:ilvl="6" w:tplc="B0206470">
      <w:start w:val="1"/>
      <w:numFmt w:val="decimal"/>
      <w:lvlText w:val="%7."/>
      <w:lvlJc w:val="left"/>
      <w:pPr>
        <w:ind w:left="5454" w:hanging="1136"/>
      </w:pPr>
      <w:rPr>
        <w:rFonts w:hAnsi="Arial Unicode MS"/>
        <w:caps w:val="0"/>
        <w:smallCaps w:val="0"/>
        <w:strike w:val="0"/>
        <w:dstrike w:val="0"/>
        <w:outline w:val="0"/>
        <w:emboss w:val="0"/>
        <w:imprint w:val="0"/>
        <w:spacing w:val="0"/>
        <w:w w:val="100"/>
        <w:kern w:val="0"/>
        <w:position w:val="0"/>
        <w:highlight w:val="none"/>
        <w:vertAlign w:val="baseline"/>
      </w:rPr>
    </w:lvl>
    <w:lvl w:ilvl="7" w:tplc="A8A0ACA6">
      <w:start w:val="1"/>
      <w:numFmt w:val="lowerLetter"/>
      <w:lvlText w:val="%8."/>
      <w:lvlJc w:val="left"/>
      <w:pPr>
        <w:ind w:left="6174" w:hanging="1136"/>
      </w:pPr>
      <w:rPr>
        <w:rFonts w:hAnsi="Arial Unicode MS"/>
        <w:caps w:val="0"/>
        <w:smallCaps w:val="0"/>
        <w:strike w:val="0"/>
        <w:dstrike w:val="0"/>
        <w:outline w:val="0"/>
        <w:emboss w:val="0"/>
        <w:imprint w:val="0"/>
        <w:spacing w:val="0"/>
        <w:w w:val="100"/>
        <w:kern w:val="0"/>
        <w:position w:val="0"/>
        <w:highlight w:val="none"/>
        <w:vertAlign w:val="baseline"/>
      </w:rPr>
    </w:lvl>
    <w:lvl w:ilvl="8" w:tplc="F104AF32">
      <w:start w:val="1"/>
      <w:numFmt w:val="lowerRoman"/>
      <w:lvlText w:val="%9."/>
      <w:lvlJc w:val="left"/>
      <w:pPr>
        <w:ind w:left="6894" w:hanging="107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3BE616DD"/>
    <w:multiLevelType w:val="hybridMultilevel"/>
    <w:tmpl w:val="7A40444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1" w15:restartNumberingAfterBreak="0">
    <w:nsid w:val="3DC5639A"/>
    <w:multiLevelType w:val="hybridMultilevel"/>
    <w:tmpl w:val="AE6AA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EE35E10"/>
    <w:multiLevelType w:val="multilevel"/>
    <w:tmpl w:val="B14A15E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F1D06D0"/>
    <w:multiLevelType w:val="multilevel"/>
    <w:tmpl w:val="AAA86C02"/>
    <w:lvl w:ilvl="0">
      <w:start w:val="1"/>
      <w:numFmt w:val="bullet"/>
      <w:lvlText w:val=""/>
      <w:lvlJc w:val="left"/>
      <w:pPr>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4" w15:restartNumberingAfterBreak="0">
    <w:nsid w:val="40E5569F"/>
    <w:multiLevelType w:val="multilevel"/>
    <w:tmpl w:val="CAB89A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63D5B88"/>
    <w:multiLevelType w:val="multilevel"/>
    <w:tmpl w:val="930EF8F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476129CF"/>
    <w:multiLevelType w:val="multilevel"/>
    <w:tmpl w:val="5950DA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7D27B1A"/>
    <w:multiLevelType w:val="hybridMultilevel"/>
    <w:tmpl w:val="C24C56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48C6233F"/>
    <w:multiLevelType w:val="hybridMultilevel"/>
    <w:tmpl w:val="5860B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9A16872"/>
    <w:multiLevelType w:val="hybridMultilevel"/>
    <w:tmpl w:val="F18AE4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B931375"/>
    <w:multiLevelType w:val="hybridMultilevel"/>
    <w:tmpl w:val="6D5A7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CEC3026"/>
    <w:multiLevelType w:val="hybridMultilevel"/>
    <w:tmpl w:val="CD688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DE46304"/>
    <w:multiLevelType w:val="hybridMultilevel"/>
    <w:tmpl w:val="62B63E78"/>
    <w:lvl w:ilvl="0" w:tplc="08090001">
      <w:start w:val="1"/>
      <w:numFmt w:val="bullet"/>
      <w:lvlText w:val=""/>
      <w:lvlJc w:val="left"/>
      <w:pPr>
        <w:ind w:left="1778" w:hanging="360"/>
      </w:pPr>
      <w:rPr>
        <w:rFonts w:ascii="Symbol" w:hAnsi="Symbol" w:hint="default"/>
      </w:rPr>
    </w:lvl>
    <w:lvl w:ilvl="1" w:tplc="FFFFFFFF">
      <w:start w:val="1"/>
      <w:numFmt w:val="bullet"/>
      <w:lvlText w:val="o"/>
      <w:lvlJc w:val="left"/>
      <w:pPr>
        <w:ind w:left="2498" w:hanging="360"/>
      </w:pPr>
      <w:rPr>
        <w:rFonts w:ascii="Courier New" w:hAnsi="Courier New" w:cs="Courier New" w:hint="default"/>
      </w:rPr>
    </w:lvl>
    <w:lvl w:ilvl="2" w:tplc="FFFFFFFF" w:tentative="1">
      <w:start w:val="1"/>
      <w:numFmt w:val="bullet"/>
      <w:lvlText w:val=""/>
      <w:lvlJc w:val="left"/>
      <w:pPr>
        <w:ind w:left="3218" w:hanging="360"/>
      </w:pPr>
      <w:rPr>
        <w:rFonts w:ascii="Wingdings" w:hAnsi="Wingdings" w:hint="default"/>
      </w:rPr>
    </w:lvl>
    <w:lvl w:ilvl="3" w:tplc="FFFFFFFF" w:tentative="1">
      <w:start w:val="1"/>
      <w:numFmt w:val="bullet"/>
      <w:lvlText w:val=""/>
      <w:lvlJc w:val="left"/>
      <w:pPr>
        <w:ind w:left="3938" w:hanging="360"/>
      </w:pPr>
      <w:rPr>
        <w:rFonts w:ascii="Symbol" w:hAnsi="Symbol" w:hint="default"/>
      </w:rPr>
    </w:lvl>
    <w:lvl w:ilvl="4" w:tplc="FFFFFFFF" w:tentative="1">
      <w:start w:val="1"/>
      <w:numFmt w:val="bullet"/>
      <w:lvlText w:val="o"/>
      <w:lvlJc w:val="left"/>
      <w:pPr>
        <w:ind w:left="4658" w:hanging="360"/>
      </w:pPr>
      <w:rPr>
        <w:rFonts w:ascii="Courier New" w:hAnsi="Courier New" w:cs="Courier New" w:hint="default"/>
      </w:rPr>
    </w:lvl>
    <w:lvl w:ilvl="5" w:tplc="FFFFFFFF" w:tentative="1">
      <w:start w:val="1"/>
      <w:numFmt w:val="bullet"/>
      <w:lvlText w:val=""/>
      <w:lvlJc w:val="left"/>
      <w:pPr>
        <w:ind w:left="5378" w:hanging="360"/>
      </w:pPr>
      <w:rPr>
        <w:rFonts w:ascii="Wingdings" w:hAnsi="Wingdings" w:hint="default"/>
      </w:rPr>
    </w:lvl>
    <w:lvl w:ilvl="6" w:tplc="FFFFFFFF" w:tentative="1">
      <w:start w:val="1"/>
      <w:numFmt w:val="bullet"/>
      <w:lvlText w:val=""/>
      <w:lvlJc w:val="left"/>
      <w:pPr>
        <w:ind w:left="6098" w:hanging="360"/>
      </w:pPr>
      <w:rPr>
        <w:rFonts w:ascii="Symbol" w:hAnsi="Symbol" w:hint="default"/>
      </w:rPr>
    </w:lvl>
    <w:lvl w:ilvl="7" w:tplc="FFFFFFFF" w:tentative="1">
      <w:start w:val="1"/>
      <w:numFmt w:val="bullet"/>
      <w:lvlText w:val="o"/>
      <w:lvlJc w:val="left"/>
      <w:pPr>
        <w:ind w:left="6818" w:hanging="360"/>
      </w:pPr>
      <w:rPr>
        <w:rFonts w:ascii="Courier New" w:hAnsi="Courier New" w:cs="Courier New" w:hint="default"/>
      </w:rPr>
    </w:lvl>
    <w:lvl w:ilvl="8" w:tplc="FFFFFFFF" w:tentative="1">
      <w:start w:val="1"/>
      <w:numFmt w:val="bullet"/>
      <w:lvlText w:val=""/>
      <w:lvlJc w:val="left"/>
      <w:pPr>
        <w:ind w:left="7538" w:hanging="360"/>
      </w:pPr>
      <w:rPr>
        <w:rFonts w:ascii="Wingdings" w:hAnsi="Wingdings" w:hint="default"/>
      </w:rPr>
    </w:lvl>
  </w:abstractNum>
  <w:abstractNum w:abstractNumId="43" w15:restartNumberingAfterBreak="0">
    <w:nsid w:val="50871DD9"/>
    <w:multiLevelType w:val="multilevel"/>
    <w:tmpl w:val="6A70B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0A80699"/>
    <w:multiLevelType w:val="hybridMultilevel"/>
    <w:tmpl w:val="9ACCEEDC"/>
    <w:styleLink w:val="ImportedStyle10"/>
    <w:lvl w:ilvl="0" w:tplc="004C9DE6">
      <w:start w:val="1"/>
      <w:numFmt w:val="lowerLetter"/>
      <w:lvlText w:val="%1)"/>
      <w:lvlJc w:val="left"/>
      <w:pPr>
        <w:ind w:left="1211"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318AF3E">
      <w:start w:val="1"/>
      <w:numFmt w:val="lowerLetter"/>
      <w:lvlText w:val="%2."/>
      <w:lvlJc w:val="left"/>
      <w:pPr>
        <w:ind w:left="1800" w:hanging="229"/>
      </w:pPr>
      <w:rPr>
        <w:rFonts w:hAnsi="Arial Unicode MS"/>
        <w:caps w:val="0"/>
        <w:smallCaps w:val="0"/>
        <w:strike w:val="0"/>
        <w:dstrike w:val="0"/>
        <w:outline w:val="0"/>
        <w:emboss w:val="0"/>
        <w:imprint w:val="0"/>
        <w:spacing w:val="0"/>
        <w:w w:val="100"/>
        <w:kern w:val="0"/>
        <w:position w:val="0"/>
        <w:highlight w:val="none"/>
        <w:vertAlign w:val="baseline"/>
      </w:rPr>
    </w:lvl>
    <w:lvl w:ilvl="2" w:tplc="63F64A06">
      <w:start w:val="1"/>
      <w:numFmt w:val="lowerRoman"/>
      <w:suff w:val="nothing"/>
      <w:lvlText w:val="%3."/>
      <w:lvlJc w:val="left"/>
      <w:pPr>
        <w:ind w:left="2461" w:hanging="112"/>
      </w:pPr>
      <w:rPr>
        <w:rFonts w:hAnsi="Arial Unicode MS"/>
        <w:caps w:val="0"/>
        <w:smallCaps w:val="0"/>
        <w:strike w:val="0"/>
        <w:dstrike w:val="0"/>
        <w:outline w:val="0"/>
        <w:emboss w:val="0"/>
        <w:imprint w:val="0"/>
        <w:spacing w:val="0"/>
        <w:w w:val="100"/>
        <w:kern w:val="0"/>
        <w:position w:val="0"/>
        <w:highlight w:val="none"/>
        <w:vertAlign w:val="baseline"/>
      </w:rPr>
    </w:lvl>
    <w:lvl w:ilvl="3" w:tplc="3004679C">
      <w:start w:val="1"/>
      <w:numFmt w:val="decimal"/>
      <w:lvlText w:val="%4."/>
      <w:lvlJc w:val="left"/>
      <w:pPr>
        <w:ind w:left="3240" w:hanging="229"/>
      </w:pPr>
      <w:rPr>
        <w:rFonts w:hAnsi="Arial Unicode MS"/>
        <w:caps w:val="0"/>
        <w:smallCaps w:val="0"/>
        <w:strike w:val="0"/>
        <w:dstrike w:val="0"/>
        <w:outline w:val="0"/>
        <w:emboss w:val="0"/>
        <w:imprint w:val="0"/>
        <w:spacing w:val="0"/>
        <w:w w:val="100"/>
        <w:kern w:val="0"/>
        <w:position w:val="0"/>
        <w:highlight w:val="none"/>
        <w:vertAlign w:val="baseline"/>
      </w:rPr>
    </w:lvl>
    <w:lvl w:ilvl="4" w:tplc="33AE21CC">
      <w:start w:val="1"/>
      <w:numFmt w:val="lowerLetter"/>
      <w:lvlText w:val="%5."/>
      <w:lvlJc w:val="left"/>
      <w:pPr>
        <w:ind w:left="3960" w:hanging="229"/>
      </w:pPr>
      <w:rPr>
        <w:rFonts w:hAnsi="Arial Unicode MS"/>
        <w:caps w:val="0"/>
        <w:smallCaps w:val="0"/>
        <w:strike w:val="0"/>
        <w:dstrike w:val="0"/>
        <w:outline w:val="0"/>
        <w:emboss w:val="0"/>
        <w:imprint w:val="0"/>
        <w:spacing w:val="0"/>
        <w:w w:val="100"/>
        <w:kern w:val="0"/>
        <w:position w:val="0"/>
        <w:highlight w:val="none"/>
        <w:vertAlign w:val="baseline"/>
      </w:rPr>
    </w:lvl>
    <w:lvl w:ilvl="5" w:tplc="EB50E86E">
      <w:start w:val="1"/>
      <w:numFmt w:val="lowerRoman"/>
      <w:suff w:val="nothing"/>
      <w:lvlText w:val="%6."/>
      <w:lvlJc w:val="left"/>
      <w:pPr>
        <w:ind w:left="4621" w:hanging="112"/>
      </w:pPr>
      <w:rPr>
        <w:rFonts w:hAnsi="Arial Unicode MS"/>
        <w:caps w:val="0"/>
        <w:smallCaps w:val="0"/>
        <w:strike w:val="0"/>
        <w:dstrike w:val="0"/>
        <w:outline w:val="0"/>
        <w:emboss w:val="0"/>
        <w:imprint w:val="0"/>
        <w:spacing w:val="0"/>
        <w:w w:val="100"/>
        <w:kern w:val="0"/>
        <w:position w:val="0"/>
        <w:highlight w:val="none"/>
        <w:vertAlign w:val="baseline"/>
      </w:rPr>
    </w:lvl>
    <w:lvl w:ilvl="6" w:tplc="4FD620B0">
      <w:start w:val="1"/>
      <w:numFmt w:val="decimal"/>
      <w:lvlText w:val="%7."/>
      <w:lvlJc w:val="left"/>
      <w:pPr>
        <w:ind w:left="5400" w:hanging="229"/>
      </w:pPr>
      <w:rPr>
        <w:rFonts w:hAnsi="Arial Unicode MS"/>
        <w:caps w:val="0"/>
        <w:smallCaps w:val="0"/>
        <w:strike w:val="0"/>
        <w:dstrike w:val="0"/>
        <w:outline w:val="0"/>
        <w:emboss w:val="0"/>
        <w:imprint w:val="0"/>
        <w:spacing w:val="0"/>
        <w:w w:val="100"/>
        <w:kern w:val="0"/>
        <w:position w:val="0"/>
        <w:highlight w:val="none"/>
        <w:vertAlign w:val="baseline"/>
      </w:rPr>
    </w:lvl>
    <w:lvl w:ilvl="7" w:tplc="741E1228">
      <w:start w:val="1"/>
      <w:numFmt w:val="lowerLetter"/>
      <w:lvlText w:val="%8."/>
      <w:lvlJc w:val="left"/>
      <w:pPr>
        <w:ind w:left="6120" w:hanging="229"/>
      </w:pPr>
      <w:rPr>
        <w:rFonts w:hAnsi="Arial Unicode MS"/>
        <w:caps w:val="0"/>
        <w:smallCaps w:val="0"/>
        <w:strike w:val="0"/>
        <w:dstrike w:val="0"/>
        <w:outline w:val="0"/>
        <w:emboss w:val="0"/>
        <w:imprint w:val="0"/>
        <w:spacing w:val="0"/>
        <w:w w:val="100"/>
        <w:kern w:val="0"/>
        <w:position w:val="0"/>
        <w:highlight w:val="none"/>
        <w:vertAlign w:val="baseline"/>
      </w:rPr>
    </w:lvl>
    <w:lvl w:ilvl="8" w:tplc="E0A24D6E">
      <w:start w:val="1"/>
      <w:numFmt w:val="lowerRoman"/>
      <w:suff w:val="nothing"/>
      <w:lvlText w:val="%9."/>
      <w:lvlJc w:val="left"/>
      <w:pPr>
        <w:ind w:left="6781" w:hanging="11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51666AB5"/>
    <w:multiLevelType w:val="hybridMultilevel"/>
    <w:tmpl w:val="DD44F880"/>
    <w:styleLink w:val="ImportedStyle14"/>
    <w:lvl w:ilvl="0" w:tplc="F3FC9084">
      <w:start w:val="1"/>
      <w:numFmt w:val="lowerLetter"/>
      <w:lvlText w:val="%1."/>
      <w:lvlJc w:val="left"/>
      <w:pPr>
        <w:tabs>
          <w:tab w:val="num" w:pos="1134"/>
        </w:tabs>
        <w:ind w:left="709" w:firstLine="0"/>
      </w:pPr>
      <w:rPr>
        <w:rFonts w:ascii="Calibri" w:eastAsia="Arial Unicode MS" w:hAnsi="Calibri" w:cs="Calibri"/>
        <w:caps w:val="0"/>
        <w:smallCaps w:val="0"/>
        <w:strike w:val="0"/>
        <w:dstrike w:val="0"/>
        <w:outline w:val="0"/>
        <w:emboss w:val="0"/>
        <w:imprint w:val="0"/>
        <w:spacing w:val="0"/>
        <w:w w:val="100"/>
        <w:kern w:val="0"/>
        <w:position w:val="0"/>
        <w:highlight w:val="none"/>
        <w:vertAlign w:val="baseline"/>
      </w:rPr>
    </w:lvl>
    <w:lvl w:ilvl="1" w:tplc="91B8AEC6">
      <w:start w:val="1"/>
      <w:numFmt w:val="lowerLetter"/>
      <w:lvlText w:val="%2."/>
      <w:lvlJc w:val="left"/>
      <w:pPr>
        <w:tabs>
          <w:tab w:val="left" w:pos="1134"/>
          <w:tab w:val="num" w:pos="1854"/>
        </w:tabs>
        <w:ind w:left="1429" w:firstLine="119"/>
      </w:pPr>
      <w:rPr>
        <w:rFonts w:hAnsi="Arial Unicode MS"/>
        <w:caps w:val="0"/>
        <w:smallCaps w:val="0"/>
        <w:strike w:val="0"/>
        <w:dstrike w:val="0"/>
        <w:outline w:val="0"/>
        <w:emboss w:val="0"/>
        <w:imprint w:val="0"/>
        <w:spacing w:val="0"/>
        <w:w w:val="100"/>
        <w:kern w:val="0"/>
        <w:position w:val="0"/>
        <w:highlight w:val="none"/>
        <w:vertAlign w:val="baseline"/>
      </w:rPr>
    </w:lvl>
    <w:lvl w:ilvl="2" w:tplc="8A4277C8">
      <w:start w:val="1"/>
      <w:numFmt w:val="lowerRoman"/>
      <w:lvlText w:val="%3."/>
      <w:lvlJc w:val="left"/>
      <w:pPr>
        <w:tabs>
          <w:tab w:val="left" w:pos="1134"/>
          <w:tab w:val="num" w:pos="2574"/>
        </w:tabs>
        <w:ind w:left="2149" w:firstLine="177"/>
      </w:pPr>
      <w:rPr>
        <w:rFonts w:hAnsi="Arial Unicode MS"/>
        <w:caps w:val="0"/>
        <w:smallCaps w:val="0"/>
        <w:strike w:val="0"/>
        <w:dstrike w:val="0"/>
        <w:outline w:val="0"/>
        <w:emboss w:val="0"/>
        <w:imprint w:val="0"/>
        <w:spacing w:val="0"/>
        <w:w w:val="100"/>
        <w:kern w:val="0"/>
        <w:position w:val="0"/>
        <w:highlight w:val="none"/>
        <w:vertAlign w:val="baseline"/>
      </w:rPr>
    </w:lvl>
    <w:lvl w:ilvl="3" w:tplc="C90E90A0">
      <w:start w:val="1"/>
      <w:numFmt w:val="decimal"/>
      <w:lvlText w:val="%4."/>
      <w:lvlJc w:val="left"/>
      <w:pPr>
        <w:tabs>
          <w:tab w:val="left" w:pos="1134"/>
          <w:tab w:val="num" w:pos="3294"/>
        </w:tabs>
        <w:ind w:left="2869" w:firstLine="119"/>
      </w:pPr>
      <w:rPr>
        <w:rFonts w:hAnsi="Arial Unicode MS"/>
        <w:caps w:val="0"/>
        <w:smallCaps w:val="0"/>
        <w:strike w:val="0"/>
        <w:dstrike w:val="0"/>
        <w:outline w:val="0"/>
        <w:emboss w:val="0"/>
        <w:imprint w:val="0"/>
        <w:spacing w:val="0"/>
        <w:w w:val="100"/>
        <w:kern w:val="0"/>
        <w:position w:val="0"/>
        <w:highlight w:val="none"/>
        <w:vertAlign w:val="baseline"/>
      </w:rPr>
    </w:lvl>
    <w:lvl w:ilvl="4" w:tplc="D1B83110">
      <w:start w:val="1"/>
      <w:numFmt w:val="lowerLetter"/>
      <w:lvlText w:val="%5."/>
      <w:lvlJc w:val="left"/>
      <w:pPr>
        <w:tabs>
          <w:tab w:val="left" w:pos="1134"/>
          <w:tab w:val="num" w:pos="4014"/>
        </w:tabs>
        <w:ind w:left="3589" w:firstLine="119"/>
      </w:pPr>
      <w:rPr>
        <w:rFonts w:hAnsi="Arial Unicode MS"/>
        <w:caps w:val="0"/>
        <w:smallCaps w:val="0"/>
        <w:strike w:val="0"/>
        <w:dstrike w:val="0"/>
        <w:outline w:val="0"/>
        <w:emboss w:val="0"/>
        <w:imprint w:val="0"/>
        <w:spacing w:val="0"/>
        <w:w w:val="100"/>
        <w:kern w:val="0"/>
        <w:position w:val="0"/>
        <w:highlight w:val="none"/>
        <w:vertAlign w:val="baseline"/>
      </w:rPr>
    </w:lvl>
    <w:lvl w:ilvl="5" w:tplc="7B062138">
      <w:start w:val="1"/>
      <w:numFmt w:val="lowerRoman"/>
      <w:lvlText w:val="%6."/>
      <w:lvlJc w:val="left"/>
      <w:pPr>
        <w:tabs>
          <w:tab w:val="left" w:pos="1134"/>
          <w:tab w:val="num" w:pos="4734"/>
        </w:tabs>
        <w:ind w:left="4309" w:firstLine="177"/>
      </w:pPr>
      <w:rPr>
        <w:rFonts w:hAnsi="Arial Unicode MS"/>
        <w:caps w:val="0"/>
        <w:smallCaps w:val="0"/>
        <w:strike w:val="0"/>
        <w:dstrike w:val="0"/>
        <w:outline w:val="0"/>
        <w:emboss w:val="0"/>
        <w:imprint w:val="0"/>
        <w:spacing w:val="0"/>
        <w:w w:val="100"/>
        <w:kern w:val="0"/>
        <w:position w:val="0"/>
        <w:highlight w:val="none"/>
        <w:vertAlign w:val="baseline"/>
      </w:rPr>
    </w:lvl>
    <w:lvl w:ilvl="6" w:tplc="D68AE4F8">
      <w:start w:val="1"/>
      <w:numFmt w:val="decimal"/>
      <w:lvlText w:val="%7."/>
      <w:lvlJc w:val="left"/>
      <w:pPr>
        <w:tabs>
          <w:tab w:val="left" w:pos="1134"/>
          <w:tab w:val="num" w:pos="5454"/>
        </w:tabs>
        <w:ind w:left="5029" w:firstLine="119"/>
      </w:pPr>
      <w:rPr>
        <w:rFonts w:hAnsi="Arial Unicode MS"/>
        <w:caps w:val="0"/>
        <w:smallCaps w:val="0"/>
        <w:strike w:val="0"/>
        <w:dstrike w:val="0"/>
        <w:outline w:val="0"/>
        <w:emboss w:val="0"/>
        <w:imprint w:val="0"/>
        <w:spacing w:val="0"/>
        <w:w w:val="100"/>
        <w:kern w:val="0"/>
        <w:position w:val="0"/>
        <w:highlight w:val="none"/>
        <w:vertAlign w:val="baseline"/>
      </w:rPr>
    </w:lvl>
    <w:lvl w:ilvl="7" w:tplc="B866CEF8">
      <w:start w:val="1"/>
      <w:numFmt w:val="lowerLetter"/>
      <w:lvlText w:val="%8."/>
      <w:lvlJc w:val="left"/>
      <w:pPr>
        <w:tabs>
          <w:tab w:val="left" w:pos="1134"/>
          <w:tab w:val="num" w:pos="6174"/>
        </w:tabs>
        <w:ind w:left="5749" w:firstLine="119"/>
      </w:pPr>
      <w:rPr>
        <w:rFonts w:hAnsi="Arial Unicode MS"/>
        <w:caps w:val="0"/>
        <w:smallCaps w:val="0"/>
        <w:strike w:val="0"/>
        <w:dstrike w:val="0"/>
        <w:outline w:val="0"/>
        <w:emboss w:val="0"/>
        <w:imprint w:val="0"/>
        <w:spacing w:val="0"/>
        <w:w w:val="100"/>
        <w:kern w:val="0"/>
        <w:position w:val="0"/>
        <w:highlight w:val="none"/>
        <w:vertAlign w:val="baseline"/>
      </w:rPr>
    </w:lvl>
    <w:lvl w:ilvl="8" w:tplc="8C82CB3C">
      <w:start w:val="1"/>
      <w:numFmt w:val="lowerRoman"/>
      <w:lvlText w:val="%9."/>
      <w:lvlJc w:val="left"/>
      <w:pPr>
        <w:tabs>
          <w:tab w:val="left" w:pos="1134"/>
          <w:tab w:val="num" w:pos="6894"/>
        </w:tabs>
        <w:ind w:left="6469" w:firstLine="17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53F23799"/>
    <w:multiLevelType w:val="multilevel"/>
    <w:tmpl w:val="327636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0"/>
      <w:numFmt w:val="bullet"/>
      <w:lvlText w:val="○"/>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54A91C8A"/>
    <w:multiLevelType w:val="hybridMultilevel"/>
    <w:tmpl w:val="2B12A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58801AC"/>
    <w:multiLevelType w:val="hybridMultilevel"/>
    <w:tmpl w:val="C3AAC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7B21911"/>
    <w:multiLevelType w:val="hybridMultilevel"/>
    <w:tmpl w:val="A6663CCE"/>
    <w:styleLink w:val="ImportedStyle6"/>
    <w:lvl w:ilvl="0" w:tplc="2F66CD82">
      <w:start w:val="1"/>
      <w:numFmt w:val="lowerLetter"/>
      <w:lvlText w:val="%1."/>
      <w:lvlJc w:val="left"/>
      <w:pPr>
        <w:ind w:left="643" w:hanging="360"/>
      </w:pPr>
      <w:rPr>
        <w:rFonts w:ascii="Calibri" w:eastAsia="Arial Unicode MS" w:hAnsi="Calibri" w:cs="Calibri"/>
        <w:caps w:val="0"/>
        <w:smallCaps w:val="0"/>
        <w:strike w:val="0"/>
        <w:dstrike w:val="0"/>
        <w:outline w:val="0"/>
        <w:emboss w:val="0"/>
        <w:imprint w:val="0"/>
        <w:spacing w:val="0"/>
        <w:w w:val="100"/>
        <w:kern w:val="0"/>
        <w:position w:val="0"/>
        <w:highlight w:val="none"/>
        <w:vertAlign w:val="baseline"/>
      </w:rPr>
    </w:lvl>
    <w:lvl w:ilvl="1" w:tplc="92681032">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1A23472">
      <w:start w:val="1"/>
      <w:numFmt w:val="lowerRoman"/>
      <w:lvlText w:val="%3."/>
      <w:lvlJc w:val="left"/>
      <w:pPr>
        <w:ind w:left="252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4DA2402">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D7CE376">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CAE21D8">
      <w:start w:val="1"/>
      <w:numFmt w:val="lowerRoman"/>
      <w:lvlText w:val="%6."/>
      <w:lvlJc w:val="left"/>
      <w:pPr>
        <w:ind w:left="468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6964796">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53A8B16">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210E1A2">
      <w:start w:val="1"/>
      <w:numFmt w:val="lowerRoman"/>
      <w:lvlText w:val="%9."/>
      <w:lvlJc w:val="left"/>
      <w:pPr>
        <w:ind w:left="684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59BD62A6"/>
    <w:multiLevelType w:val="hybridMultilevel"/>
    <w:tmpl w:val="3DB225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C5D33BF"/>
    <w:multiLevelType w:val="hybridMultilevel"/>
    <w:tmpl w:val="ABD0F3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081050B"/>
    <w:multiLevelType w:val="multilevel"/>
    <w:tmpl w:val="5D785F2E"/>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60BD7BFB"/>
    <w:multiLevelType w:val="hybridMultilevel"/>
    <w:tmpl w:val="22C8A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2F807D1"/>
    <w:multiLevelType w:val="hybridMultilevel"/>
    <w:tmpl w:val="34C02CB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5" w15:restartNumberingAfterBreak="0">
    <w:nsid w:val="6384090A"/>
    <w:multiLevelType w:val="hybridMultilevel"/>
    <w:tmpl w:val="D0780FD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15:restartNumberingAfterBreak="0">
    <w:nsid w:val="65C61B19"/>
    <w:multiLevelType w:val="multilevel"/>
    <w:tmpl w:val="87D6A02C"/>
    <w:lvl w:ilvl="0">
      <w:start w:val="1"/>
      <w:numFmt w:val="bullet"/>
      <w:lvlText w:val=""/>
      <w:lvlJc w:val="left"/>
      <w:pPr>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7" w15:restartNumberingAfterBreak="0">
    <w:nsid w:val="665A5D7E"/>
    <w:multiLevelType w:val="hybridMultilevel"/>
    <w:tmpl w:val="E1DA1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B461F3F"/>
    <w:multiLevelType w:val="hybridMultilevel"/>
    <w:tmpl w:val="D64EEE2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6BAE3B60"/>
    <w:multiLevelType w:val="multilevel"/>
    <w:tmpl w:val="0F9AD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E226B69"/>
    <w:multiLevelType w:val="hybridMultilevel"/>
    <w:tmpl w:val="EDD242CE"/>
    <w:lvl w:ilvl="0" w:tplc="08090003">
      <w:start w:val="1"/>
      <w:numFmt w:val="bullet"/>
      <w:lvlText w:val="o"/>
      <w:lvlJc w:val="left"/>
      <w:pPr>
        <w:ind w:left="1429" w:hanging="360"/>
      </w:pPr>
      <w:rPr>
        <w:rFonts w:ascii="Courier New" w:hAnsi="Courier New" w:cs="Courier New"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1" w15:restartNumberingAfterBreak="0">
    <w:nsid w:val="6E405BB3"/>
    <w:multiLevelType w:val="hybridMultilevel"/>
    <w:tmpl w:val="78525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1853F71"/>
    <w:multiLevelType w:val="hybridMultilevel"/>
    <w:tmpl w:val="F6F24A40"/>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3" w15:restartNumberingAfterBreak="0">
    <w:nsid w:val="720A4465"/>
    <w:multiLevelType w:val="hybridMultilevel"/>
    <w:tmpl w:val="405C85B6"/>
    <w:styleLink w:val="ImportedStyle9"/>
    <w:lvl w:ilvl="0" w:tplc="1262B024">
      <w:start w:val="1"/>
      <w:numFmt w:val="low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572EB96">
      <w:start w:val="1"/>
      <w:numFmt w:val="lowerLetter"/>
      <w:lvlText w:val="%2."/>
      <w:lvlJc w:val="left"/>
      <w:pPr>
        <w:ind w:left="1800" w:hanging="360"/>
      </w:pPr>
      <w:rPr>
        <w:rFonts w:ascii="Calibri" w:eastAsia="Cambria" w:hAnsi="Calibri" w:cs="Calibri"/>
        <w:caps w:val="0"/>
        <w:smallCaps w:val="0"/>
        <w:strike w:val="0"/>
        <w:dstrike w:val="0"/>
        <w:outline w:val="0"/>
        <w:emboss w:val="0"/>
        <w:imprint w:val="0"/>
        <w:spacing w:val="0"/>
        <w:w w:val="100"/>
        <w:kern w:val="0"/>
        <w:position w:val="0"/>
        <w:highlight w:val="none"/>
        <w:vertAlign w:val="baseline"/>
      </w:rPr>
    </w:lvl>
    <w:lvl w:ilvl="2" w:tplc="5992C070">
      <w:start w:val="1"/>
      <w:numFmt w:val="lowerRoman"/>
      <w:lvlText w:val="%3."/>
      <w:lvlJc w:val="left"/>
      <w:pPr>
        <w:ind w:left="252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9A27C02">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696EFE6">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2141F8A">
      <w:start w:val="1"/>
      <w:numFmt w:val="lowerRoman"/>
      <w:lvlText w:val="%6."/>
      <w:lvlJc w:val="left"/>
      <w:pPr>
        <w:ind w:left="468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5C405A94">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6F0069E">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72F99A">
      <w:start w:val="1"/>
      <w:numFmt w:val="lowerRoman"/>
      <w:lvlText w:val="%9."/>
      <w:lvlJc w:val="left"/>
      <w:pPr>
        <w:ind w:left="684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7306010F"/>
    <w:multiLevelType w:val="multilevel"/>
    <w:tmpl w:val="73C6E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47C7F6B"/>
    <w:multiLevelType w:val="hybridMultilevel"/>
    <w:tmpl w:val="F6E2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5C37B8E"/>
    <w:multiLevelType w:val="hybridMultilevel"/>
    <w:tmpl w:val="A64AE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6766542"/>
    <w:multiLevelType w:val="hybridMultilevel"/>
    <w:tmpl w:val="B41C39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9B20617"/>
    <w:multiLevelType w:val="hybridMultilevel"/>
    <w:tmpl w:val="A34E9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BDE58A6"/>
    <w:multiLevelType w:val="hybridMultilevel"/>
    <w:tmpl w:val="57EC6F2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478186466">
    <w:abstractNumId w:val="43"/>
  </w:num>
  <w:num w:numId="2" w16cid:durableId="2095860214">
    <w:abstractNumId w:val="13"/>
  </w:num>
  <w:num w:numId="3" w16cid:durableId="370764241">
    <w:abstractNumId w:val="59"/>
  </w:num>
  <w:num w:numId="4" w16cid:durableId="311132089">
    <w:abstractNumId w:val="64"/>
  </w:num>
  <w:num w:numId="5" w16cid:durableId="845628399">
    <w:abstractNumId w:val="3"/>
  </w:num>
  <w:num w:numId="6" w16cid:durableId="809395706">
    <w:abstractNumId w:val="65"/>
  </w:num>
  <w:num w:numId="7" w16cid:durableId="2003313820">
    <w:abstractNumId w:val="54"/>
  </w:num>
  <w:num w:numId="8" w16cid:durableId="1040201389">
    <w:abstractNumId w:val="57"/>
  </w:num>
  <w:num w:numId="9" w16cid:durableId="1455252115">
    <w:abstractNumId w:val="61"/>
  </w:num>
  <w:num w:numId="10" w16cid:durableId="1834686382">
    <w:abstractNumId w:val="51"/>
  </w:num>
  <w:num w:numId="11" w16cid:durableId="781148135">
    <w:abstractNumId w:val="67"/>
  </w:num>
  <w:num w:numId="12" w16cid:durableId="1539704285">
    <w:abstractNumId w:val="39"/>
  </w:num>
  <w:num w:numId="13" w16cid:durableId="846603787">
    <w:abstractNumId w:val="52"/>
  </w:num>
  <w:num w:numId="14" w16cid:durableId="992298415">
    <w:abstractNumId w:val="33"/>
  </w:num>
  <w:num w:numId="15" w16cid:durableId="110252460">
    <w:abstractNumId w:val="28"/>
  </w:num>
  <w:num w:numId="16" w16cid:durableId="2051882031">
    <w:abstractNumId w:val="26"/>
  </w:num>
  <w:num w:numId="17" w16cid:durableId="624778731">
    <w:abstractNumId w:val="12"/>
  </w:num>
  <w:num w:numId="18" w16cid:durableId="1365909938">
    <w:abstractNumId w:val="40"/>
  </w:num>
  <w:num w:numId="19" w16cid:durableId="65610506">
    <w:abstractNumId w:val="2"/>
  </w:num>
  <w:num w:numId="20" w16cid:durableId="2042242581">
    <w:abstractNumId w:val="50"/>
  </w:num>
  <w:num w:numId="21" w16cid:durableId="719016161">
    <w:abstractNumId w:val="48"/>
  </w:num>
  <w:num w:numId="22" w16cid:durableId="228464341">
    <w:abstractNumId w:val="38"/>
  </w:num>
  <w:num w:numId="23" w16cid:durableId="204684008">
    <w:abstractNumId w:val="34"/>
  </w:num>
  <w:num w:numId="24" w16cid:durableId="536234764">
    <w:abstractNumId w:val="23"/>
  </w:num>
  <w:num w:numId="25" w16cid:durableId="477724378">
    <w:abstractNumId w:val="15"/>
  </w:num>
  <w:num w:numId="26" w16cid:durableId="1477452175">
    <w:abstractNumId w:val="0"/>
  </w:num>
  <w:num w:numId="27" w16cid:durableId="663552199">
    <w:abstractNumId w:val="36"/>
  </w:num>
  <w:num w:numId="28" w16cid:durableId="207843628">
    <w:abstractNumId w:val="8"/>
  </w:num>
  <w:num w:numId="29" w16cid:durableId="134370273">
    <w:abstractNumId w:val="9"/>
  </w:num>
  <w:num w:numId="30" w16cid:durableId="798182990">
    <w:abstractNumId w:val="30"/>
  </w:num>
  <w:num w:numId="31" w16cid:durableId="1734500992">
    <w:abstractNumId w:val="16"/>
  </w:num>
  <w:num w:numId="32" w16cid:durableId="1581794508">
    <w:abstractNumId w:val="46"/>
  </w:num>
  <w:num w:numId="33" w16cid:durableId="457989359">
    <w:abstractNumId w:val="20"/>
  </w:num>
  <w:num w:numId="34" w16cid:durableId="1345285202">
    <w:abstractNumId w:val="10"/>
  </w:num>
  <w:num w:numId="35" w16cid:durableId="1720350421">
    <w:abstractNumId w:val="14"/>
  </w:num>
  <w:num w:numId="36" w16cid:durableId="536352834">
    <w:abstractNumId w:val="32"/>
  </w:num>
  <w:num w:numId="37" w16cid:durableId="1175998454">
    <w:abstractNumId w:val="37"/>
  </w:num>
  <w:num w:numId="38" w16cid:durableId="1369179517">
    <w:abstractNumId w:val="56"/>
  </w:num>
  <w:num w:numId="39" w16cid:durableId="1072236222">
    <w:abstractNumId w:val="35"/>
  </w:num>
  <w:num w:numId="40" w16cid:durableId="1643971843">
    <w:abstractNumId w:val="53"/>
  </w:num>
  <w:num w:numId="41" w16cid:durableId="1512256167">
    <w:abstractNumId w:val="19"/>
  </w:num>
  <w:num w:numId="42" w16cid:durableId="2046632661">
    <w:abstractNumId w:val="49"/>
  </w:num>
  <w:num w:numId="43" w16cid:durableId="1470201668">
    <w:abstractNumId w:val="63"/>
  </w:num>
  <w:num w:numId="44" w16cid:durableId="1274434427">
    <w:abstractNumId w:val="44"/>
  </w:num>
  <w:num w:numId="45" w16cid:durableId="1689943490">
    <w:abstractNumId w:val="1"/>
  </w:num>
  <w:num w:numId="46" w16cid:durableId="1839732456">
    <w:abstractNumId w:val="45"/>
  </w:num>
  <w:num w:numId="47" w16cid:durableId="260378975">
    <w:abstractNumId w:val="29"/>
  </w:num>
  <w:num w:numId="48" w16cid:durableId="1177185611">
    <w:abstractNumId w:val="66"/>
  </w:num>
  <w:num w:numId="49" w16cid:durableId="1559823019">
    <w:abstractNumId w:val="62"/>
  </w:num>
  <w:num w:numId="50" w16cid:durableId="455297693">
    <w:abstractNumId w:val="4"/>
  </w:num>
  <w:num w:numId="51" w16cid:durableId="1146623218">
    <w:abstractNumId w:val="41"/>
  </w:num>
  <w:num w:numId="52" w16cid:durableId="1297880568">
    <w:abstractNumId w:val="68"/>
  </w:num>
  <w:num w:numId="53" w16cid:durableId="111555709">
    <w:abstractNumId w:val="47"/>
  </w:num>
  <w:num w:numId="54" w16cid:durableId="736047671">
    <w:abstractNumId w:val="17"/>
  </w:num>
  <w:num w:numId="55" w16cid:durableId="1331637316">
    <w:abstractNumId w:val="55"/>
  </w:num>
  <w:num w:numId="56" w16cid:durableId="96025337">
    <w:abstractNumId w:val="11"/>
  </w:num>
  <w:num w:numId="57" w16cid:durableId="198977903">
    <w:abstractNumId w:val="31"/>
  </w:num>
  <w:num w:numId="58" w16cid:durableId="390273051">
    <w:abstractNumId w:val="58"/>
  </w:num>
  <w:num w:numId="59" w16cid:durableId="1234853188">
    <w:abstractNumId w:val="42"/>
  </w:num>
  <w:num w:numId="60" w16cid:durableId="204758139">
    <w:abstractNumId w:val="27"/>
  </w:num>
  <w:num w:numId="61" w16cid:durableId="1850873850">
    <w:abstractNumId w:val="60"/>
  </w:num>
  <w:num w:numId="62" w16cid:durableId="1230916700">
    <w:abstractNumId w:val="18"/>
  </w:num>
  <w:num w:numId="63" w16cid:durableId="955718641">
    <w:abstractNumId w:val="25"/>
  </w:num>
  <w:num w:numId="64" w16cid:durableId="49577566">
    <w:abstractNumId w:val="21"/>
  </w:num>
  <w:num w:numId="65" w16cid:durableId="1634406341">
    <w:abstractNumId w:val="22"/>
  </w:num>
  <w:num w:numId="66" w16cid:durableId="1473905329">
    <w:abstractNumId w:val="69"/>
  </w:num>
  <w:num w:numId="67" w16cid:durableId="760763367">
    <w:abstractNumId w:val="7"/>
  </w:num>
  <w:num w:numId="68" w16cid:durableId="1576696357">
    <w:abstractNumId w:val="24"/>
  </w:num>
  <w:num w:numId="69" w16cid:durableId="129442384">
    <w:abstractNumId w:val="5"/>
  </w:num>
  <w:num w:numId="70" w16cid:durableId="1031608806">
    <w:abstractNumId w:val="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erfxtrp4es29re0e0qv5x5tpxp2s0xderet&quot;&gt;My EndNote Library&lt;record-ids&gt;&lt;item&gt;1&lt;/item&gt;&lt;item&gt;687&lt;/item&gt;&lt;item&gt;721&lt;/item&gt;&lt;item&gt;846&lt;/item&gt;&lt;item&gt;861&lt;/item&gt;&lt;item&gt;934&lt;/item&gt;&lt;item&gt;938&lt;/item&gt;&lt;item&gt;943&lt;/item&gt;&lt;item&gt;951&lt;/item&gt;&lt;item&gt;1053&lt;/item&gt;&lt;item&gt;1078&lt;/item&gt;&lt;item&gt;1079&lt;/item&gt;&lt;item&gt;1089&lt;/item&gt;&lt;item&gt;1090&lt;/item&gt;&lt;item&gt;1097&lt;/item&gt;&lt;item&gt;1110&lt;/item&gt;&lt;item&gt;1111&lt;/item&gt;&lt;item&gt;1113&lt;/item&gt;&lt;item&gt;1115&lt;/item&gt;&lt;item&gt;1116&lt;/item&gt;&lt;item&gt;1117&lt;/item&gt;&lt;item&gt;1119&lt;/item&gt;&lt;item&gt;1121&lt;/item&gt;&lt;/record-ids&gt;&lt;/item&gt;&lt;/Libraries&gt;"/>
  </w:docVars>
  <w:rsids>
    <w:rsidRoot w:val="00CD61FD"/>
    <w:rsid w:val="000024E7"/>
    <w:rsid w:val="000322A8"/>
    <w:rsid w:val="00053504"/>
    <w:rsid w:val="00053D48"/>
    <w:rsid w:val="000B3DF6"/>
    <w:rsid w:val="000B3FF9"/>
    <w:rsid w:val="000D0891"/>
    <w:rsid w:val="000D603A"/>
    <w:rsid w:val="000E2934"/>
    <w:rsid w:val="000F168E"/>
    <w:rsid w:val="000F280F"/>
    <w:rsid w:val="00113503"/>
    <w:rsid w:val="0011448D"/>
    <w:rsid w:val="00126BEE"/>
    <w:rsid w:val="0017568A"/>
    <w:rsid w:val="00181A01"/>
    <w:rsid w:val="00182C5A"/>
    <w:rsid w:val="0019471C"/>
    <w:rsid w:val="001C3C72"/>
    <w:rsid w:val="001C4381"/>
    <w:rsid w:val="001D0C51"/>
    <w:rsid w:val="001E391B"/>
    <w:rsid w:val="00212CBC"/>
    <w:rsid w:val="00217066"/>
    <w:rsid w:val="00236B5E"/>
    <w:rsid w:val="00274579"/>
    <w:rsid w:val="00280BC8"/>
    <w:rsid w:val="00283D2A"/>
    <w:rsid w:val="00284A3E"/>
    <w:rsid w:val="002939EE"/>
    <w:rsid w:val="002B285E"/>
    <w:rsid w:val="002B30F9"/>
    <w:rsid w:val="002E2C9A"/>
    <w:rsid w:val="002F146C"/>
    <w:rsid w:val="002F47B2"/>
    <w:rsid w:val="00311E2A"/>
    <w:rsid w:val="00314B58"/>
    <w:rsid w:val="00346D2E"/>
    <w:rsid w:val="00355D31"/>
    <w:rsid w:val="00362E0F"/>
    <w:rsid w:val="00371205"/>
    <w:rsid w:val="00372FB4"/>
    <w:rsid w:val="00384CDB"/>
    <w:rsid w:val="003907A2"/>
    <w:rsid w:val="00395EC9"/>
    <w:rsid w:val="003C33E1"/>
    <w:rsid w:val="003D3180"/>
    <w:rsid w:val="003D7D93"/>
    <w:rsid w:val="003E13C8"/>
    <w:rsid w:val="0041017B"/>
    <w:rsid w:val="00427890"/>
    <w:rsid w:val="004366E6"/>
    <w:rsid w:val="00441A50"/>
    <w:rsid w:val="0044589E"/>
    <w:rsid w:val="00480931"/>
    <w:rsid w:val="00487207"/>
    <w:rsid w:val="004B39C6"/>
    <w:rsid w:val="004B6E78"/>
    <w:rsid w:val="00505598"/>
    <w:rsid w:val="00514677"/>
    <w:rsid w:val="00526468"/>
    <w:rsid w:val="00547CD0"/>
    <w:rsid w:val="005652A4"/>
    <w:rsid w:val="005C1915"/>
    <w:rsid w:val="005D43DE"/>
    <w:rsid w:val="0060290A"/>
    <w:rsid w:val="006118E4"/>
    <w:rsid w:val="00622C2C"/>
    <w:rsid w:val="00625421"/>
    <w:rsid w:val="00641306"/>
    <w:rsid w:val="006611E8"/>
    <w:rsid w:val="00662622"/>
    <w:rsid w:val="0068032F"/>
    <w:rsid w:val="00693621"/>
    <w:rsid w:val="006A2DFB"/>
    <w:rsid w:val="006A782E"/>
    <w:rsid w:val="006B18E7"/>
    <w:rsid w:val="006C1107"/>
    <w:rsid w:val="006C2248"/>
    <w:rsid w:val="006D0F61"/>
    <w:rsid w:val="006D5AA2"/>
    <w:rsid w:val="006F2B11"/>
    <w:rsid w:val="0070783B"/>
    <w:rsid w:val="007102FD"/>
    <w:rsid w:val="00711BE8"/>
    <w:rsid w:val="00737A80"/>
    <w:rsid w:val="00784331"/>
    <w:rsid w:val="007E3E75"/>
    <w:rsid w:val="0082468C"/>
    <w:rsid w:val="00831506"/>
    <w:rsid w:val="0084464B"/>
    <w:rsid w:val="00850844"/>
    <w:rsid w:val="00865F98"/>
    <w:rsid w:val="008739DD"/>
    <w:rsid w:val="008821B5"/>
    <w:rsid w:val="0088267C"/>
    <w:rsid w:val="008926FC"/>
    <w:rsid w:val="008D4BDF"/>
    <w:rsid w:val="008E49F7"/>
    <w:rsid w:val="008F47F2"/>
    <w:rsid w:val="009372D3"/>
    <w:rsid w:val="0097499E"/>
    <w:rsid w:val="0099460F"/>
    <w:rsid w:val="009974B3"/>
    <w:rsid w:val="009A3A4A"/>
    <w:rsid w:val="009B24BA"/>
    <w:rsid w:val="009B7524"/>
    <w:rsid w:val="009D0B56"/>
    <w:rsid w:val="009E0472"/>
    <w:rsid w:val="009E5BA9"/>
    <w:rsid w:val="00A005CE"/>
    <w:rsid w:val="00A22A63"/>
    <w:rsid w:val="00A403B8"/>
    <w:rsid w:val="00A412F6"/>
    <w:rsid w:val="00A44486"/>
    <w:rsid w:val="00A51E53"/>
    <w:rsid w:val="00A54327"/>
    <w:rsid w:val="00A65D3E"/>
    <w:rsid w:val="00A83C22"/>
    <w:rsid w:val="00A85D14"/>
    <w:rsid w:val="00AC1C76"/>
    <w:rsid w:val="00AF10E1"/>
    <w:rsid w:val="00B41461"/>
    <w:rsid w:val="00B462AD"/>
    <w:rsid w:val="00B50D82"/>
    <w:rsid w:val="00B73BAF"/>
    <w:rsid w:val="00B7631B"/>
    <w:rsid w:val="00B87B94"/>
    <w:rsid w:val="00BA72DE"/>
    <w:rsid w:val="00BB7D80"/>
    <w:rsid w:val="00BC44BA"/>
    <w:rsid w:val="00BC4F92"/>
    <w:rsid w:val="00BD0960"/>
    <w:rsid w:val="00C06BC5"/>
    <w:rsid w:val="00C1021D"/>
    <w:rsid w:val="00C247DE"/>
    <w:rsid w:val="00C351F0"/>
    <w:rsid w:val="00C446C7"/>
    <w:rsid w:val="00C50D4D"/>
    <w:rsid w:val="00C57D4D"/>
    <w:rsid w:val="00C74C99"/>
    <w:rsid w:val="00C9265F"/>
    <w:rsid w:val="00C95253"/>
    <w:rsid w:val="00C959D0"/>
    <w:rsid w:val="00CB0C37"/>
    <w:rsid w:val="00CB65E7"/>
    <w:rsid w:val="00CC3811"/>
    <w:rsid w:val="00CD61FD"/>
    <w:rsid w:val="00CE520A"/>
    <w:rsid w:val="00CF3490"/>
    <w:rsid w:val="00CF5C3C"/>
    <w:rsid w:val="00D14D2D"/>
    <w:rsid w:val="00D23A98"/>
    <w:rsid w:val="00D26FEE"/>
    <w:rsid w:val="00D41DC8"/>
    <w:rsid w:val="00D63B73"/>
    <w:rsid w:val="00D77243"/>
    <w:rsid w:val="00D82BCC"/>
    <w:rsid w:val="00D94722"/>
    <w:rsid w:val="00D965D5"/>
    <w:rsid w:val="00DA151E"/>
    <w:rsid w:val="00DC53A5"/>
    <w:rsid w:val="00DD2603"/>
    <w:rsid w:val="00DE424C"/>
    <w:rsid w:val="00DF14D4"/>
    <w:rsid w:val="00E25C6B"/>
    <w:rsid w:val="00E278EC"/>
    <w:rsid w:val="00E27D5C"/>
    <w:rsid w:val="00E315D5"/>
    <w:rsid w:val="00E4067E"/>
    <w:rsid w:val="00E77477"/>
    <w:rsid w:val="00E87848"/>
    <w:rsid w:val="00E93D6A"/>
    <w:rsid w:val="00E95399"/>
    <w:rsid w:val="00EB6556"/>
    <w:rsid w:val="00EC5AB0"/>
    <w:rsid w:val="00EE5CC4"/>
    <w:rsid w:val="00F00B65"/>
    <w:rsid w:val="00F042C4"/>
    <w:rsid w:val="00F04F35"/>
    <w:rsid w:val="00F102A5"/>
    <w:rsid w:val="00F347FE"/>
    <w:rsid w:val="00F36C42"/>
    <w:rsid w:val="00F451CE"/>
    <w:rsid w:val="00F546C1"/>
    <w:rsid w:val="00F5715E"/>
    <w:rsid w:val="00F82C4A"/>
    <w:rsid w:val="00FB4507"/>
    <w:rsid w:val="00FE4D0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46AA7"/>
  <w15:chartTrackingRefBased/>
  <w15:docId w15:val="{5FF3B958-C18E-4D86-BDE5-632578353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4B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14B5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57D4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84331"/>
    <w:pPr>
      <w:keepNext/>
      <w:keepLines/>
      <w:spacing w:before="40" w:after="0"/>
      <w:outlineLvl w:val="3"/>
    </w:pPr>
    <w:rPr>
      <w:rFonts w:asciiTheme="majorHAnsi" w:eastAsiaTheme="majorEastAsia" w:hAnsiTheme="majorHAnsi" w:cstheme="majorBidi"/>
      <w:i/>
      <w:iCs/>
      <w:color w:val="2F5496" w:themeColor="accent1" w:themeShade="BF"/>
      <w:lang w:eastAsia="en-GB"/>
    </w:rPr>
  </w:style>
  <w:style w:type="paragraph" w:styleId="Heading5">
    <w:name w:val="heading 5"/>
    <w:basedOn w:val="Normal"/>
    <w:next w:val="Normal"/>
    <w:link w:val="Heading5Char"/>
    <w:uiPriority w:val="9"/>
    <w:semiHidden/>
    <w:unhideWhenUsed/>
    <w:qFormat/>
    <w:rsid w:val="00A22A6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qFormat/>
    <w:rsid w:val="00346D2E"/>
    <w:pPr>
      <w:numPr>
        <w:numId w:val="54"/>
      </w:numPr>
      <w:spacing w:line="276" w:lineRule="auto"/>
      <w:contextualSpacing/>
      <w:jc w:val="both"/>
    </w:pPr>
  </w:style>
  <w:style w:type="paragraph" w:styleId="NormalWeb">
    <w:name w:val="Normal (Web)"/>
    <w:basedOn w:val="Normal"/>
    <w:uiPriority w:val="99"/>
    <w:semiHidden/>
    <w:unhideWhenUsed/>
    <w:rsid w:val="00314B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314B5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14B5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57D4D"/>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6C2248"/>
    <w:pPr>
      <w:spacing w:after="0" w:line="240" w:lineRule="auto"/>
      <w:contextualSpacing/>
    </w:pPr>
    <w:rPr>
      <w:rFonts w:asciiTheme="majorHAnsi" w:eastAsiaTheme="majorEastAsia" w:hAnsiTheme="majorHAnsi" w:cstheme="majorBidi"/>
      <w:color w:val="002060"/>
      <w:spacing w:val="-10"/>
      <w:kern w:val="28"/>
      <w:sz w:val="48"/>
      <w:szCs w:val="56"/>
    </w:rPr>
  </w:style>
  <w:style w:type="character" w:customStyle="1" w:styleId="TitleChar">
    <w:name w:val="Title Char"/>
    <w:basedOn w:val="DefaultParagraphFont"/>
    <w:link w:val="Title"/>
    <w:uiPriority w:val="10"/>
    <w:rsid w:val="006C2248"/>
    <w:rPr>
      <w:rFonts w:asciiTheme="majorHAnsi" w:eastAsiaTheme="majorEastAsia" w:hAnsiTheme="majorHAnsi" w:cstheme="majorBidi"/>
      <w:color w:val="002060"/>
      <w:spacing w:val="-10"/>
      <w:kern w:val="28"/>
      <w:sz w:val="48"/>
      <w:szCs w:val="56"/>
    </w:rPr>
  </w:style>
  <w:style w:type="character" w:styleId="Strong">
    <w:name w:val="Strong"/>
    <w:basedOn w:val="DefaultParagraphFont"/>
    <w:uiPriority w:val="22"/>
    <w:qFormat/>
    <w:rsid w:val="002939EE"/>
    <w:rPr>
      <w:b/>
      <w:bCs/>
    </w:rPr>
  </w:style>
  <w:style w:type="table" w:styleId="TableGrid">
    <w:name w:val="Table Grid"/>
    <w:basedOn w:val="TableNormal"/>
    <w:uiPriority w:val="39"/>
    <w:rsid w:val="00547C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BA72DE"/>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BA72DE"/>
    <w:rPr>
      <w:rFonts w:ascii="Calibri" w:hAnsi="Calibri" w:cs="Calibri"/>
      <w:noProof/>
      <w:lang w:val="en-US"/>
    </w:rPr>
  </w:style>
  <w:style w:type="paragraph" w:customStyle="1" w:styleId="EndNoteBibliography">
    <w:name w:val="EndNote Bibliography"/>
    <w:basedOn w:val="Normal"/>
    <w:link w:val="EndNoteBibliographyChar"/>
    <w:rsid w:val="00BA72DE"/>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BA72DE"/>
    <w:rPr>
      <w:rFonts w:ascii="Calibri" w:hAnsi="Calibri" w:cs="Calibri"/>
      <w:noProof/>
      <w:lang w:val="en-US"/>
    </w:rPr>
  </w:style>
  <w:style w:type="character" w:customStyle="1" w:styleId="Heading4Char">
    <w:name w:val="Heading 4 Char"/>
    <w:basedOn w:val="DefaultParagraphFont"/>
    <w:link w:val="Heading4"/>
    <w:uiPriority w:val="9"/>
    <w:rsid w:val="00784331"/>
    <w:rPr>
      <w:rFonts w:asciiTheme="majorHAnsi" w:eastAsiaTheme="majorEastAsia" w:hAnsiTheme="majorHAnsi" w:cstheme="majorBidi"/>
      <w:i/>
      <w:iCs/>
      <w:color w:val="2F5496" w:themeColor="accent1" w:themeShade="BF"/>
      <w:lang w:eastAsia="en-GB"/>
    </w:rPr>
  </w:style>
  <w:style w:type="character" w:customStyle="1" w:styleId="Heading5Char">
    <w:name w:val="Heading 5 Char"/>
    <w:basedOn w:val="DefaultParagraphFont"/>
    <w:link w:val="Heading5"/>
    <w:uiPriority w:val="9"/>
    <w:semiHidden/>
    <w:rsid w:val="00A22A63"/>
    <w:rPr>
      <w:rFonts w:asciiTheme="majorHAnsi" w:eastAsiaTheme="majorEastAsia" w:hAnsiTheme="majorHAnsi" w:cstheme="majorBidi"/>
      <w:color w:val="2F5496" w:themeColor="accent1" w:themeShade="BF"/>
    </w:rPr>
  </w:style>
  <w:style w:type="paragraph" w:customStyle="1" w:styleId="Default">
    <w:name w:val="Default"/>
    <w:link w:val="DefaultChar"/>
    <w:rsid w:val="00A22A63"/>
    <w:pPr>
      <w:autoSpaceDE w:val="0"/>
      <w:autoSpaceDN w:val="0"/>
      <w:adjustRightInd w:val="0"/>
      <w:spacing w:after="0" w:line="240" w:lineRule="auto"/>
    </w:pPr>
    <w:rPr>
      <w:rFonts w:ascii="Arial" w:eastAsia="Calibri" w:hAnsi="Arial" w:cs="Arial"/>
      <w:color w:val="000000"/>
      <w:sz w:val="24"/>
      <w:szCs w:val="24"/>
    </w:rPr>
  </w:style>
  <w:style w:type="paragraph" w:styleId="CommentText">
    <w:name w:val="annotation text"/>
    <w:basedOn w:val="Normal"/>
    <w:link w:val="CommentTextChar"/>
    <w:unhideWhenUsed/>
    <w:rsid w:val="00A22A63"/>
    <w:pPr>
      <w:spacing w:after="20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rsid w:val="00A22A63"/>
    <w:rPr>
      <w:rFonts w:ascii="Calibri" w:eastAsia="Calibri" w:hAnsi="Calibri" w:cs="Times New Roman"/>
      <w:sz w:val="20"/>
      <w:szCs w:val="20"/>
    </w:rPr>
  </w:style>
  <w:style w:type="character" w:customStyle="1" w:styleId="DefaultChar">
    <w:name w:val="Default Char"/>
    <w:link w:val="Default"/>
    <w:rsid w:val="00A22A63"/>
    <w:rPr>
      <w:rFonts w:ascii="Arial" w:eastAsia="Calibri" w:hAnsi="Arial" w:cs="Arial"/>
      <w:color w:val="000000"/>
      <w:sz w:val="24"/>
      <w:szCs w:val="24"/>
    </w:rPr>
  </w:style>
  <w:style w:type="character" w:styleId="Hyperlink">
    <w:name w:val="Hyperlink"/>
    <w:uiPriority w:val="99"/>
    <w:unhideWhenUsed/>
    <w:rsid w:val="00A22A63"/>
    <w:rPr>
      <w:color w:val="0563C1"/>
      <w:u w:val="single"/>
    </w:rPr>
  </w:style>
  <w:style w:type="character" w:styleId="UnresolvedMention">
    <w:name w:val="Unresolved Mention"/>
    <w:basedOn w:val="DefaultParagraphFont"/>
    <w:uiPriority w:val="99"/>
    <w:semiHidden/>
    <w:unhideWhenUsed/>
    <w:rsid w:val="00A22A63"/>
    <w:rPr>
      <w:color w:val="605E5C"/>
      <w:shd w:val="clear" w:color="auto" w:fill="E1DFDD"/>
    </w:rPr>
  </w:style>
  <w:style w:type="character" w:styleId="SubtleEmphasis">
    <w:name w:val="Subtle Emphasis"/>
    <w:basedOn w:val="DefaultParagraphFont"/>
    <w:uiPriority w:val="19"/>
    <w:qFormat/>
    <w:rsid w:val="00C50D4D"/>
    <w:rPr>
      <w:i/>
      <w:iCs/>
      <w:color w:val="404040" w:themeColor="text1" w:themeTint="BF"/>
    </w:rPr>
  </w:style>
  <w:style w:type="paragraph" w:styleId="Revision">
    <w:name w:val="Revision"/>
    <w:hidden/>
    <w:uiPriority w:val="99"/>
    <w:semiHidden/>
    <w:rsid w:val="00BB7D80"/>
    <w:pPr>
      <w:spacing w:after="0" w:line="240" w:lineRule="auto"/>
    </w:pPr>
  </w:style>
  <w:style w:type="paragraph" w:customStyle="1" w:styleId="BodyA">
    <w:name w:val="Body A"/>
    <w:rsid w:val="00737A80"/>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zh-CN"/>
    </w:rPr>
  </w:style>
  <w:style w:type="paragraph" w:customStyle="1" w:styleId="NormalWeb1">
    <w:name w:val="Normal (Web)1"/>
    <w:rsid w:val="00737A80"/>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de-DE" w:eastAsia="zh-CN"/>
    </w:rPr>
  </w:style>
  <w:style w:type="numbering" w:customStyle="1" w:styleId="ImportedStyle6">
    <w:name w:val="Imported Style 6"/>
    <w:rsid w:val="00737A80"/>
    <w:pPr>
      <w:numPr>
        <w:numId w:val="42"/>
      </w:numPr>
    </w:pPr>
  </w:style>
  <w:style w:type="numbering" w:customStyle="1" w:styleId="ImportedStyle9">
    <w:name w:val="Imported Style 9"/>
    <w:rsid w:val="00737A80"/>
    <w:pPr>
      <w:numPr>
        <w:numId w:val="43"/>
      </w:numPr>
    </w:pPr>
  </w:style>
  <w:style w:type="numbering" w:customStyle="1" w:styleId="ImportedStyle10">
    <w:name w:val="Imported Style 10"/>
    <w:rsid w:val="00737A80"/>
    <w:pPr>
      <w:numPr>
        <w:numId w:val="44"/>
      </w:numPr>
    </w:pPr>
  </w:style>
  <w:style w:type="numbering" w:customStyle="1" w:styleId="ImportedStyle12">
    <w:name w:val="Imported Style 12"/>
    <w:rsid w:val="00737A80"/>
    <w:pPr>
      <w:numPr>
        <w:numId w:val="45"/>
      </w:numPr>
    </w:pPr>
  </w:style>
  <w:style w:type="numbering" w:customStyle="1" w:styleId="ImportedStyle14">
    <w:name w:val="Imported Style 14"/>
    <w:rsid w:val="00737A80"/>
    <w:pPr>
      <w:numPr>
        <w:numId w:val="46"/>
      </w:numPr>
    </w:pPr>
  </w:style>
  <w:style w:type="numbering" w:customStyle="1" w:styleId="ImportedStyle15">
    <w:name w:val="Imported Style 15"/>
    <w:rsid w:val="00737A80"/>
    <w:pPr>
      <w:numPr>
        <w:numId w:val="47"/>
      </w:numPr>
    </w:pPr>
  </w:style>
  <w:style w:type="paragraph" w:styleId="TOC1">
    <w:name w:val="toc 1"/>
    <w:basedOn w:val="Normal"/>
    <w:next w:val="Normal"/>
    <w:autoRedefine/>
    <w:uiPriority w:val="39"/>
    <w:unhideWhenUsed/>
    <w:rsid w:val="00D82BCC"/>
    <w:pPr>
      <w:spacing w:after="100"/>
    </w:pPr>
  </w:style>
  <w:style w:type="paragraph" w:styleId="TOC2">
    <w:name w:val="toc 2"/>
    <w:basedOn w:val="Normal"/>
    <w:next w:val="Normal"/>
    <w:autoRedefine/>
    <w:uiPriority w:val="39"/>
    <w:unhideWhenUsed/>
    <w:rsid w:val="00D82BCC"/>
    <w:pPr>
      <w:spacing w:after="100"/>
      <w:ind w:left="220"/>
    </w:pPr>
  </w:style>
  <w:style w:type="paragraph" w:styleId="TOC3">
    <w:name w:val="toc 3"/>
    <w:basedOn w:val="Normal"/>
    <w:next w:val="Normal"/>
    <w:autoRedefine/>
    <w:uiPriority w:val="39"/>
    <w:unhideWhenUsed/>
    <w:rsid w:val="00D82BCC"/>
    <w:pPr>
      <w:spacing w:after="100"/>
      <w:ind w:left="440"/>
    </w:pPr>
  </w:style>
  <w:style w:type="paragraph" w:styleId="TOC4">
    <w:name w:val="toc 4"/>
    <w:basedOn w:val="Normal"/>
    <w:next w:val="Normal"/>
    <w:autoRedefine/>
    <w:uiPriority w:val="39"/>
    <w:unhideWhenUsed/>
    <w:rsid w:val="00D82BCC"/>
    <w:pPr>
      <w:spacing w:after="100"/>
      <w:ind w:left="660"/>
    </w:pPr>
  </w:style>
  <w:style w:type="paragraph" w:styleId="TOC5">
    <w:name w:val="toc 5"/>
    <w:basedOn w:val="Normal"/>
    <w:next w:val="Normal"/>
    <w:autoRedefine/>
    <w:uiPriority w:val="39"/>
    <w:unhideWhenUsed/>
    <w:rsid w:val="00D82BCC"/>
    <w:pPr>
      <w:spacing w:after="100"/>
      <w:ind w:left="880"/>
    </w:pPr>
  </w:style>
  <w:style w:type="paragraph" w:styleId="TOC6">
    <w:name w:val="toc 6"/>
    <w:basedOn w:val="Normal"/>
    <w:next w:val="Normal"/>
    <w:autoRedefine/>
    <w:uiPriority w:val="39"/>
    <w:unhideWhenUsed/>
    <w:rsid w:val="00D82BCC"/>
    <w:pPr>
      <w:spacing w:after="100"/>
      <w:ind w:left="1100"/>
    </w:pPr>
    <w:rPr>
      <w:rFonts w:eastAsiaTheme="minorEastAsia"/>
      <w:lang w:eastAsia="en-GB"/>
    </w:rPr>
  </w:style>
  <w:style w:type="paragraph" w:styleId="TOC7">
    <w:name w:val="toc 7"/>
    <w:basedOn w:val="Normal"/>
    <w:next w:val="Normal"/>
    <w:autoRedefine/>
    <w:uiPriority w:val="39"/>
    <w:unhideWhenUsed/>
    <w:rsid w:val="00D82BCC"/>
    <w:pPr>
      <w:spacing w:after="100"/>
      <w:ind w:left="1320"/>
    </w:pPr>
    <w:rPr>
      <w:rFonts w:eastAsiaTheme="minorEastAsia"/>
      <w:lang w:eastAsia="en-GB"/>
    </w:rPr>
  </w:style>
  <w:style w:type="paragraph" w:styleId="TOC8">
    <w:name w:val="toc 8"/>
    <w:basedOn w:val="Normal"/>
    <w:next w:val="Normal"/>
    <w:autoRedefine/>
    <w:uiPriority w:val="39"/>
    <w:unhideWhenUsed/>
    <w:rsid w:val="00D82BCC"/>
    <w:pPr>
      <w:spacing w:after="100"/>
      <w:ind w:left="1540"/>
    </w:pPr>
    <w:rPr>
      <w:rFonts w:eastAsiaTheme="minorEastAsia"/>
      <w:lang w:eastAsia="en-GB"/>
    </w:rPr>
  </w:style>
  <w:style w:type="paragraph" w:styleId="TOC9">
    <w:name w:val="toc 9"/>
    <w:basedOn w:val="Normal"/>
    <w:next w:val="Normal"/>
    <w:autoRedefine/>
    <w:uiPriority w:val="39"/>
    <w:unhideWhenUsed/>
    <w:rsid w:val="00D82BCC"/>
    <w:pPr>
      <w:spacing w:after="100"/>
      <w:ind w:left="1760"/>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111232">
      <w:bodyDiv w:val="1"/>
      <w:marLeft w:val="0"/>
      <w:marRight w:val="0"/>
      <w:marTop w:val="0"/>
      <w:marBottom w:val="0"/>
      <w:divBdr>
        <w:top w:val="none" w:sz="0" w:space="0" w:color="auto"/>
        <w:left w:val="none" w:sz="0" w:space="0" w:color="auto"/>
        <w:bottom w:val="none" w:sz="0" w:space="0" w:color="auto"/>
        <w:right w:val="none" w:sz="0" w:space="0" w:color="auto"/>
      </w:divBdr>
    </w:div>
    <w:div w:id="945233873">
      <w:bodyDiv w:val="1"/>
      <w:marLeft w:val="0"/>
      <w:marRight w:val="0"/>
      <w:marTop w:val="0"/>
      <w:marBottom w:val="0"/>
      <w:divBdr>
        <w:top w:val="none" w:sz="0" w:space="0" w:color="auto"/>
        <w:left w:val="none" w:sz="0" w:space="0" w:color="auto"/>
        <w:bottom w:val="none" w:sz="0" w:space="0" w:color="auto"/>
        <w:right w:val="none" w:sz="0" w:space="0" w:color="auto"/>
      </w:divBdr>
    </w:div>
    <w:div w:id="1320963563">
      <w:bodyDiv w:val="1"/>
      <w:marLeft w:val="0"/>
      <w:marRight w:val="0"/>
      <w:marTop w:val="0"/>
      <w:marBottom w:val="0"/>
      <w:divBdr>
        <w:top w:val="none" w:sz="0" w:space="0" w:color="auto"/>
        <w:left w:val="none" w:sz="0" w:space="0" w:color="auto"/>
        <w:bottom w:val="none" w:sz="0" w:space="0" w:color="auto"/>
        <w:right w:val="none" w:sz="0" w:space="0" w:color="auto"/>
      </w:divBdr>
    </w:div>
    <w:div w:id="1687125652">
      <w:bodyDiv w:val="1"/>
      <w:marLeft w:val="0"/>
      <w:marRight w:val="0"/>
      <w:marTop w:val="0"/>
      <w:marBottom w:val="0"/>
      <w:divBdr>
        <w:top w:val="none" w:sz="0" w:space="0" w:color="auto"/>
        <w:left w:val="none" w:sz="0" w:space="0" w:color="auto"/>
        <w:bottom w:val="none" w:sz="0" w:space="0" w:color="auto"/>
        <w:right w:val="none" w:sz="0" w:space="0" w:color="auto"/>
      </w:divBdr>
    </w:div>
    <w:div w:id="2002149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ubmed.ncbi.nlm.nih.gov/?sort=date&amp;term=Adey+D&amp;cauthor_id=34115439" TargetMode="External"/><Relationship Id="rId21" Type="http://schemas.openxmlformats.org/officeDocument/2006/relationships/hyperlink" Target="https://pubmed.ncbi.nlm.nih.gov/34115439/" TargetMode="External"/><Relationship Id="rId42" Type="http://schemas.openxmlformats.org/officeDocument/2006/relationships/hyperlink" Target="https://pubmed.ncbi.nlm.nih.gov/?sort=date&amp;term=Aala+A&amp;cauthor_id=34115439" TargetMode="External"/><Relationship Id="rId47" Type="http://schemas.openxmlformats.org/officeDocument/2006/relationships/hyperlink" Target="https://pubmed.ncbi.nlm.nih.gov/34115439/" TargetMode="External"/><Relationship Id="rId63" Type="http://schemas.openxmlformats.org/officeDocument/2006/relationships/hyperlink" Target="http://www.nomograms.org" TargetMode="External"/><Relationship Id="rId68" Type="http://schemas.openxmlformats.org/officeDocument/2006/relationships/hyperlink" Target="https://link.springer.com/article/10.1684/ejd.2020.3845" TargetMode="External"/><Relationship Id="rId16" Type="http://schemas.openxmlformats.org/officeDocument/2006/relationships/hyperlink" Target="https://pubmed.ncbi.nlm.nih.gov/?sort=date&amp;term=Woodside+KJ&amp;cauthor_id=34115439" TargetMode="External"/><Relationship Id="rId11" Type="http://schemas.openxmlformats.org/officeDocument/2006/relationships/hyperlink" Target="https://pubmed.ncbi.nlm.nih.gov/34115439/" TargetMode="External"/><Relationship Id="rId24" Type="http://schemas.openxmlformats.org/officeDocument/2006/relationships/hyperlink" Target="https://pubmed.ncbi.nlm.nih.gov/?sort=date&amp;term=Concepcion+BP&amp;cauthor_id=34115439" TargetMode="External"/><Relationship Id="rId32" Type="http://schemas.openxmlformats.org/officeDocument/2006/relationships/hyperlink" Target="https://pubmed.ncbi.nlm.nih.gov/?sort=date&amp;term=Kraus+E&amp;cauthor_id=34115439" TargetMode="External"/><Relationship Id="rId37" Type="http://schemas.openxmlformats.org/officeDocument/2006/relationships/hyperlink" Target="https://pubmed.ncbi.nlm.nih.gov/34115439/" TargetMode="External"/><Relationship Id="rId40" Type="http://schemas.openxmlformats.org/officeDocument/2006/relationships/hyperlink" Target="https://pubmed.ncbi.nlm.nih.gov/?sort=date&amp;term=Wiseman+A&amp;cauthor_id=34115439" TargetMode="External"/><Relationship Id="rId45" Type="http://schemas.openxmlformats.org/officeDocument/2006/relationships/hyperlink" Target="https://pubmed.ncbi.nlm.nih.gov/34115439/" TargetMode="External"/><Relationship Id="rId53" Type="http://schemas.openxmlformats.org/officeDocument/2006/relationships/image" Target="media/image6.png"/><Relationship Id="rId58" Type="http://schemas.openxmlformats.org/officeDocument/2006/relationships/hyperlink" Target="https://abcd.care/sites/abcd.care/files/site_uploads/Resources/Position-Papers/Management-of-hyperglycaemia-in-adults%20-with-DKD.pdf" TargetMode="External"/><Relationship Id="rId66" Type="http://schemas.openxmlformats.org/officeDocument/2006/relationships/hyperlink" Target="https://link.springer.com/article/10.1684/ejd.2020.3845" TargetMode="External"/><Relationship Id="rId74" Type="http://schemas.openxmlformats.org/officeDocument/2006/relationships/image" Target="media/image10.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nice.org.uk/guidance/ng203" TargetMode="External"/><Relationship Id="rId19" Type="http://schemas.openxmlformats.org/officeDocument/2006/relationships/hyperlink" Target="https://pubmed.ncbi.nlm.nih.gov/34115439/" TargetMode="External"/><Relationship Id="rId14" Type="http://schemas.openxmlformats.org/officeDocument/2006/relationships/hyperlink" Target="https://pubmed.ncbi.nlm.nih.gov/?sort=date&amp;term=Parsons+RF&amp;cauthor_id=34115439" TargetMode="External"/><Relationship Id="rId22" Type="http://schemas.openxmlformats.org/officeDocument/2006/relationships/hyperlink" Target="https://pubmed.ncbi.nlm.nih.gov/?sort=date&amp;term=Singh+N&amp;cauthor_id=34115439" TargetMode="External"/><Relationship Id="rId27" Type="http://schemas.openxmlformats.org/officeDocument/2006/relationships/hyperlink" Target="https://pubmed.ncbi.nlm.nih.gov/34115439/" TargetMode="External"/><Relationship Id="rId30" Type="http://schemas.openxmlformats.org/officeDocument/2006/relationships/hyperlink" Target="https://pubmed.ncbi.nlm.nih.gov/?sort=date&amp;term=Faravardeh+A&amp;cauthor_id=34115439" TargetMode="External"/><Relationship Id="rId35" Type="http://schemas.openxmlformats.org/officeDocument/2006/relationships/hyperlink" Target="https://pubmed.ncbi.nlm.nih.gov/34115439/" TargetMode="External"/><Relationship Id="rId43" Type="http://schemas.openxmlformats.org/officeDocument/2006/relationships/hyperlink" Target="https://pubmed.ncbi.nlm.nih.gov/34115439/" TargetMode="External"/><Relationship Id="rId48" Type="http://schemas.openxmlformats.org/officeDocument/2006/relationships/image" Target="media/image2.emf"/><Relationship Id="rId56" Type="http://schemas.openxmlformats.org/officeDocument/2006/relationships/hyperlink" Target="https://kdigo.org/wp-content/uploads/2016/10/KDIGO-2021-BP-GL.pdf" TargetMode="External"/><Relationship Id="rId64" Type="http://schemas.openxmlformats.org/officeDocument/2006/relationships/hyperlink" Target="https://www.kidneycareuk.org/news-and-campaigns/news/kidney-clinic-skin-deep-skin-cancer-aftertransplant" TargetMode="External"/><Relationship Id="rId69" Type="http://schemas.openxmlformats.org/officeDocument/2006/relationships/hyperlink" Target="https://link.springer.com/article/10.1684/ejd.2020.3845" TargetMode="External"/><Relationship Id="rId77" Type="http://schemas.openxmlformats.org/officeDocument/2006/relationships/hyperlink" Target="https://usrds.org/media/1731/v2_c06_transplant_18_usrds.pdf" TargetMode="External"/><Relationship Id="rId8" Type="http://schemas.openxmlformats.org/officeDocument/2006/relationships/hyperlink" Target="https://pubmed.ncbi.nlm.nih.gov/?sort=date&amp;term=Molnar+MZ&amp;cauthor_id=34115439" TargetMode="External"/><Relationship Id="rId51" Type="http://schemas.openxmlformats.org/officeDocument/2006/relationships/image" Target="media/image5.emf"/><Relationship Id="rId72" Type="http://schemas.openxmlformats.org/officeDocument/2006/relationships/image" Target="media/image8.png"/><Relationship Id="rId3" Type="http://schemas.openxmlformats.org/officeDocument/2006/relationships/styles" Target="styles.xml"/><Relationship Id="rId12" Type="http://schemas.openxmlformats.org/officeDocument/2006/relationships/hyperlink" Target="https://pubmed.ncbi.nlm.nih.gov/?sort=date&amp;term=Basu+A&amp;cauthor_id=34115439" TargetMode="External"/><Relationship Id="rId17" Type="http://schemas.openxmlformats.org/officeDocument/2006/relationships/hyperlink" Target="https://pubmed.ncbi.nlm.nih.gov/34115439/" TargetMode="External"/><Relationship Id="rId25" Type="http://schemas.openxmlformats.org/officeDocument/2006/relationships/hyperlink" Target="https://pubmed.ncbi.nlm.nih.gov/34115439/" TargetMode="External"/><Relationship Id="rId33" Type="http://schemas.openxmlformats.org/officeDocument/2006/relationships/hyperlink" Target="https://pubmed.ncbi.nlm.nih.gov/34115439/" TargetMode="External"/><Relationship Id="rId38" Type="http://schemas.openxmlformats.org/officeDocument/2006/relationships/hyperlink" Target="https://pubmed.ncbi.nlm.nih.gov/?sort=date&amp;term=Friedewald+J&amp;cauthor_id=34115439" TargetMode="External"/><Relationship Id="rId46" Type="http://schemas.openxmlformats.org/officeDocument/2006/relationships/hyperlink" Target="https://pubmed.ncbi.nlm.nih.gov/?sort=date&amp;term=Alhamad+T&amp;cauthor_id=34115439" TargetMode="External"/><Relationship Id="rId59" Type="http://schemas.openxmlformats.org/officeDocument/2006/relationships/hyperlink" Target="https://abcd.care/sites/abcd.care/files/site_uploads/Resources/Position-Papers/Management-of-lipids-in%20adults-with-DKD.pdf" TargetMode="External"/><Relationship Id="rId67" Type="http://schemas.openxmlformats.org/officeDocument/2006/relationships/hyperlink" Target="https://link.springer.com/article/10.1684/ejd.2020.3845" TargetMode="External"/><Relationship Id="rId20" Type="http://schemas.openxmlformats.org/officeDocument/2006/relationships/hyperlink" Target="https://pubmed.ncbi.nlm.nih.gov/?sort=date&amp;term=Blosser+CD&amp;cauthor_id=34115439" TargetMode="External"/><Relationship Id="rId41" Type="http://schemas.openxmlformats.org/officeDocument/2006/relationships/hyperlink" Target="https://pubmed.ncbi.nlm.nih.gov/34115439/" TargetMode="External"/><Relationship Id="rId54" Type="http://schemas.openxmlformats.org/officeDocument/2006/relationships/hyperlink" Target="https://doi.org/10.1056/NEJMc1602668" TargetMode="External"/><Relationship Id="rId62" Type="http://schemas.openxmlformats.org/officeDocument/2006/relationships/hyperlink" Target="https://www.nice.org.uk/guidance/ng203" TargetMode="External"/><Relationship Id="rId70" Type="http://schemas.openxmlformats.org/officeDocument/2006/relationships/hyperlink" Target="https://link.springer.com/journal/40699" TargetMode="External"/><Relationship Id="rId75"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pubmed.ncbi.nlm.nih.gov/34115439/" TargetMode="External"/><Relationship Id="rId23" Type="http://schemas.openxmlformats.org/officeDocument/2006/relationships/hyperlink" Target="https://pubmed.ncbi.nlm.nih.gov/34115439/" TargetMode="External"/><Relationship Id="rId28" Type="http://schemas.openxmlformats.org/officeDocument/2006/relationships/hyperlink" Target="https://pubmed.ncbi.nlm.nih.gov/?sort=date&amp;term=Gupta+G&amp;cauthor_id=34115439" TargetMode="External"/><Relationship Id="rId36" Type="http://schemas.openxmlformats.org/officeDocument/2006/relationships/hyperlink" Target="https://pubmed.ncbi.nlm.nih.gov/?sort=date&amp;term=Riella+LV&amp;cauthor_id=34115439" TargetMode="External"/><Relationship Id="rId49" Type="http://schemas.openxmlformats.org/officeDocument/2006/relationships/image" Target="media/image3.png"/><Relationship Id="rId57" Type="http://schemas.openxmlformats.org/officeDocument/2006/relationships/hyperlink" Target="https://www.nice.org.uk/guidance/ng203" TargetMode="External"/><Relationship Id="rId10" Type="http://schemas.openxmlformats.org/officeDocument/2006/relationships/hyperlink" Target="https://pubmed.ncbi.nlm.nih.gov/?sort=date&amp;term=Lentine+KL&amp;cauthor_id=34115439" TargetMode="External"/><Relationship Id="rId31" Type="http://schemas.openxmlformats.org/officeDocument/2006/relationships/hyperlink" Target="https://pubmed.ncbi.nlm.nih.gov/34115439/" TargetMode="External"/><Relationship Id="rId44" Type="http://schemas.openxmlformats.org/officeDocument/2006/relationships/hyperlink" Target="https://pubmed.ncbi.nlm.nih.gov/?sort=date&amp;term=Dadhania+DM&amp;cauthor_id=34115439" TargetMode="External"/><Relationship Id="rId52" Type="http://schemas.openxmlformats.org/officeDocument/2006/relationships/package" Target="embeddings/Microsoft_Word_Document.docx"/><Relationship Id="rId60" Type="http://schemas.openxmlformats.org/officeDocument/2006/relationships/hyperlink" Target="https://abcd.care/sites/abcd.care/files/site_uploads/Resources/Position-Papers/ABCD-RA-PTDM-v14.pdf" TargetMode="External"/><Relationship Id="rId65" Type="http://schemas.openxmlformats.org/officeDocument/2006/relationships/hyperlink" Target="https://link.springer.com/article/10.1684/ejd.2020.3845" TargetMode="External"/><Relationship Id="rId73" Type="http://schemas.openxmlformats.org/officeDocument/2006/relationships/image" Target="media/image9.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ubmed.ncbi.nlm.nih.gov/34115439/" TargetMode="External"/><Relationship Id="rId13" Type="http://schemas.openxmlformats.org/officeDocument/2006/relationships/hyperlink" Target="https://pubmed.ncbi.nlm.nih.gov/34115439/" TargetMode="External"/><Relationship Id="rId18" Type="http://schemas.openxmlformats.org/officeDocument/2006/relationships/hyperlink" Target="https://pubmed.ncbi.nlm.nih.gov/?sort=date&amp;term=Pavlakis+M&amp;cauthor_id=34115439" TargetMode="External"/><Relationship Id="rId39" Type="http://schemas.openxmlformats.org/officeDocument/2006/relationships/hyperlink" Target="https://pubmed.ncbi.nlm.nih.gov/34115439/" TargetMode="External"/><Relationship Id="rId34" Type="http://schemas.openxmlformats.org/officeDocument/2006/relationships/hyperlink" Target="https://pubmed.ncbi.nlm.nih.gov/?sort=date&amp;term=Ong+S&amp;cauthor_id=34115439" TargetMode="External"/><Relationship Id="rId50" Type="http://schemas.openxmlformats.org/officeDocument/2006/relationships/image" Target="media/image4.emf"/><Relationship Id="rId55" Type="http://schemas.openxmlformats.org/officeDocument/2006/relationships/hyperlink" Target="https://kdigo.org/wp-content/uploads/2016/10/KDIGO-2021-BP-GL.pdf" TargetMode="External"/><Relationship Id="rId76" Type="http://schemas.openxmlformats.org/officeDocument/2006/relationships/hyperlink" Target="https://ukkidney.org/sites/renal.org/files/publication/file-attachments/23rd_UKRR_ANNUAL_REPORT_0.pdf" TargetMode="External"/><Relationship Id="rId7" Type="http://schemas.openxmlformats.org/officeDocument/2006/relationships/hyperlink" Target="https://pubmed.ncbi.nlm.nih.gov/34115439/" TargetMode="External"/><Relationship Id="rId71" Type="http://schemas.openxmlformats.org/officeDocument/2006/relationships/image" Target="media/image7.png"/><Relationship Id="rId2" Type="http://schemas.openxmlformats.org/officeDocument/2006/relationships/numbering" Target="numbering.xml"/><Relationship Id="rId29" Type="http://schemas.openxmlformats.org/officeDocument/2006/relationships/hyperlink" Target="https://pubmed.ncbi.nlm.nih.gov/3411543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6128557C-565D-48F2-86D5-AA9DF8C55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96</Pages>
  <Words>88366</Words>
  <Characters>427693</Characters>
  <Application>Microsoft Office Word</Application>
  <DocSecurity>0</DocSecurity>
  <Lines>61099</Lines>
  <Paragraphs>36861</Paragraphs>
  <ScaleCrop>false</ScaleCrop>
  <HeadingPairs>
    <vt:vector size="2" baseType="variant">
      <vt:variant>
        <vt:lpstr>Title</vt:lpstr>
      </vt:variant>
      <vt:variant>
        <vt:i4>1</vt:i4>
      </vt:variant>
    </vt:vector>
  </HeadingPairs>
  <TitlesOfParts>
    <vt:vector size="1" baseType="lpstr">
      <vt:lpstr/>
    </vt:vector>
  </TitlesOfParts>
  <Company>CardiffandVale UHB</Company>
  <LinksUpToDate>false</LinksUpToDate>
  <CharactersWithSpaces>479198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Griffin (Cardiff and Vale UHB - Nephrology Transplant)</dc:creator>
  <cp:keywords/>
  <dc:description/>
  <cp:lastModifiedBy>elham asgari</cp:lastModifiedBy>
  <cp:revision>2</cp:revision>
  <dcterms:created xsi:type="dcterms:W3CDTF">2023-02-26T21:42:00Z</dcterms:created>
  <dcterms:modified xsi:type="dcterms:W3CDTF">2023-02-26T21:42:00Z</dcterms:modified>
</cp:coreProperties>
</file>